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CF5CC" w14:textId="77777777" w:rsidR="00E01A00" w:rsidRPr="00AF13E1" w:rsidRDefault="00E01A00">
      <w:pPr>
        <w:rPr>
          <w:rFonts w:asciiTheme="minorHAnsi" w:hAnsiTheme="minorHAnsi"/>
        </w:rPr>
      </w:pPr>
    </w:p>
    <w:tbl>
      <w:tblPr>
        <w:tblW w:w="10065" w:type="dxa"/>
        <w:tblInd w:w="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1E0" w:firstRow="1" w:lastRow="1" w:firstColumn="1" w:lastColumn="1" w:noHBand="0" w:noVBand="0"/>
      </w:tblPr>
      <w:tblGrid>
        <w:gridCol w:w="2410"/>
        <w:gridCol w:w="7655"/>
      </w:tblGrid>
      <w:tr w:rsidR="003622B3" w:rsidRPr="00AF13E1" w14:paraId="4BDCEB07" w14:textId="77777777" w:rsidTr="003622B3">
        <w:trPr>
          <w:cantSplit/>
          <w:trHeight w:val="1124"/>
        </w:trPr>
        <w:tc>
          <w:tcPr>
            <w:tcW w:w="2410" w:type="dxa"/>
            <w:vAlign w:val="center"/>
          </w:tcPr>
          <w:p w14:paraId="73BE4589" w14:textId="77777777" w:rsidR="002E5A07" w:rsidRPr="00AF13E1" w:rsidRDefault="002E5A07" w:rsidP="002E5A07">
            <w:pPr>
              <w:jc w:val="center"/>
              <w:rPr>
                <w:rFonts w:asciiTheme="minorHAnsi" w:hAnsiTheme="minorHAnsi"/>
              </w:rPr>
            </w:pPr>
            <w:r w:rsidRPr="00AF13E1">
              <w:rPr>
                <w:rFonts w:asciiTheme="minorHAnsi" w:hAnsiTheme="minorHAnsi"/>
                <w:noProof/>
              </w:rPr>
              <w:drawing>
                <wp:inline distT="0" distB="0" distL="0" distR="0" wp14:anchorId="0773B34F" wp14:editId="7CB2A2B4">
                  <wp:extent cx="1153002" cy="418200"/>
                  <wp:effectExtent l="0" t="0" r="0" b="1270"/>
                  <wp:docPr id="512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Image 5"/>
                          <pic:cNvPicPr>
                            <a:picLocks noChangeAspect="1"/>
                          </pic:cNvPicPr>
                        </pic:nvPicPr>
                        <pic:blipFill>
                          <a:blip r:embed="rId5">
                            <a:extLst>
                              <a:ext uri="{28A0092B-C50C-407E-A947-70E740481C1C}">
                                <a14:useLocalDpi xmlns:a14="http://schemas.microsoft.com/office/drawing/2010/main" val="0"/>
                              </a:ext>
                            </a:extLst>
                          </a:blip>
                          <a:srcRect l="10556" t="13704"/>
                          <a:stretch>
                            <a:fillRect/>
                          </a:stretch>
                        </pic:blipFill>
                        <pic:spPr bwMode="auto">
                          <a:xfrm>
                            <a:off x="0" y="0"/>
                            <a:ext cx="1154730" cy="418827"/>
                          </a:xfrm>
                          <a:prstGeom prst="rect">
                            <a:avLst/>
                          </a:prstGeom>
                          <a:noFill/>
                          <a:ln>
                            <a:noFill/>
                          </a:ln>
                          <a:extLst/>
                        </pic:spPr>
                      </pic:pic>
                    </a:graphicData>
                  </a:graphic>
                </wp:inline>
              </w:drawing>
            </w:r>
          </w:p>
          <w:p w14:paraId="657E7BF9" w14:textId="77777777" w:rsidR="003622B3" w:rsidRPr="00AF13E1" w:rsidRDefault="002E5A07" w:rsidP="002E5A07">
            <w:pPr>
              <w:jc w:val="center"/>
              <w:rPr>
                <w:rFonts w:asciiTheme="minorHAnsi" w:hAnsiTheme="minorHAnsi"/>
              </w:rPr>
            </w:pPr>
            <w:r w:rsidRPr="00AF13E1">
              <w:rPr>
                <w:rFonts w:asciiTheme="minorHAnsi" w:hAnsiTheme="minorHAnsi"/>
                <w:noProof/>
              </w:rPr>
              <w:drawing>
                <wp:inline distT="0" distB="0" distL="0" distR="0" wp14:anchorId="6C18DEC1" wp14:editId="11268CA0">
                  <wp:extent cx="1064525" cy="327380"/>
                  <wp:effectExtent l="0" t="0" r="2540" b="0"/>
                  <wp:docPr id="5122" name="Picture 2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Picture 24"/>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8433" cy="328582"/>
                          </a:xfrm>
                          <a:prstGeom prst="rect">
                            <a:avLst/>
                          </a:prstGeom>
                          <a:no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pic:spPr>
                      </pic:pic>
                    </a:graphicData>
                  </a:graphic>
                </wp:inline>
              </w:drawing>
            </w:r>
          </w:p>
        </w:tc>
        <w:tc>
          <w:tcPr>
            <w:tcW w:w="7655" w:type="dxa"/>
            <w:vMerge w:val="restart"/>
          </w:tcPr>
          <w:p w14:paraId="4066EC2E" w14:textId="77777777" w:rsidR="003622B3" w:rsidRPr="00AF13E1" w:rsidRDefault="003622B3" w:rsidP="000E760E">
            <w:pPr>
              <w:rPr>
                <w:rFonts w:asciiTheme="minorHAnsi" w:hAnsiTheme="minorHAnsi"/>
              </w:rPr>
            </w:pPr>
          </w:p>
          <w:p w14:paraId="477F69B1" w14:textId="77777777" w:rsidR="003622B3" w:rsidRPr="00AF13E1" w:rsidRDefault="002E5A07" w:rsidP="008B1E81">
            <w:pPr>
              <w:jc w:val="center"/>
              <w:rPr>
                <w:rFonts w:asciiTheme="minorHAnsi" w:hAnsiTheme="minorHAnsi"/>
              </w:rPr>
            </w:pPr>
            <w:r>
              <w:rPr>
                <w:rFonts w:asciiTheme="minorHAnsi" w:hAnsiTheme="minorHAnsi"/>
              </w:rPr>
              <w:t>CDD 2 ans à partir de juin 2018</w:t>
            </w:r>
          </w:p>
          <w:p w14:paraId="7E0681FD" w14:textId="77777777" w:rsidR="003622B3" w:rsidRPr="00AF13E1" w:rsidRDefault="003622B3" w:rsidP="000E760E">
            <w:pPr>
              <w:rPr>
                <w:rFonts w:asciiTheme="minorHAnsi" w:hAnsiTheme="minorHAnsi"/>
              </w:rPr>
            </w:pPr>
          </w:p>
          <w:p w14:paraId="5AB5CD2E" w14:textId="77777777" w:rsidR="002E5A07" w:rsidRPr="002E5A07" w:rsidRDefault="002E5A07" w:rsidP="002E5A07">
            <w:pPr>
              <w:pStyle w:val="Titre6"/>
              <w:jc w:val="center"/>
              <w:rPr>
                <w:rFonts w:asciiTheme="minorHAnsi" w:hAnsiTheme="minorHAnsi"/>
                <w:b/>
                <w:bCs/>
                <w:sz w:val="28"/>
                <w:lang w:val="en-GB"/>
              </w:rPr>
            </w:pPr>
            <w:r w:rsidRPr="002E5A07">
              <w:rPr>
                <w:rFonts w:asciiTheme="minorHAnsi" w:hAnsiTheme="minorHAnsi"/>
                <w:b/>
                <w:bCs/>
                <w:sz w:val="28"/>
                <w:lang w:val="en-GB"/>
              </w:rPr>
              <w:t>Appel à candidature</w:t>
            </w:r>
          </w:p>
          <w:p w14:paraId="0B8D4ABC" w14:textId="77777777" w:rsidR="002E5A07" w:rsidRDefault="002E5A07" w:rsidP="002E5A07">
            <w:pPr>
              <w:pStyle w:val="Titre6"/>
              <w:jc w:val="center"/>
              <w:rPr>
                <w:rFonts w:asciiTheme="minorHAnsi" w:hAnsiTheme="minorHAnsi"/>
                <w:b/>
                <w:bCs/>
                <w:sz w:val="28"/>
              </w:rPr>
            </w:pPr>
            <w:r>
              <w:rPr>
                <w:rFonts w:asciiTheme="minorHAnsi" w:hAnsiTheme="minorHAnsi"/>
                <w:b/>
                <w:bCs/>
                <w:sz w:val="28"/>
              </w:rPr>
              <w:t>Ingénieur de recherche</w:t>
            </w:r>
          </w:p>
          <w:p w14:paraId="4678CCC9" w14:textId="77777777" w:rsidR="002E5A07" w:rsidRPr="002E5A07" w:rsidRDefault="002E5A07" w:rsidP="002E5A07"/>
          <w:p w14:paraId="23552798" w14:textId="77777777" w:rsidR="003622B3" w:rsidRPr="00AF13E1" w:rsidRDefault="003622B3" w:rsidP="003622B3">
            <w:pPr>
              <w:pStyle w:val="Titre6"/>
              <w:jc w:val="center"/>
              <w:rPr>
                <w:rFonts w:asciiTheme="minorHAnsi" w:hAnsiTheme="minorHAnsi"/>
                <w:b/>
                <w:bCs/>
              </w:rPr>
            </w:pPr>
            <w:r w:rsidRPr="00AF13E1">
              <w:rPr>
                <w:rFonts w:asciiTheme="minorHAnsi" w:hAnsiTheme="minorHAnsi"/>
                <w:b/>
                <w:bCs/>
              </w:rPr>
              <w:t xml:space="preserve">Analyse </w:t>
            </w:r>
            <w:r w:rsidR="003072B8">
              <w:rPr>
                <w:rFonts w:asciiTheme="minorHAnsi" w:hAnsiTheme="minorHAnsi"/>
                <w:b/>
                <w:bCs/>
              </w:rPr>
              <w:t>des co</w:t>
            </w:r>
            <w:r w:rsidR="0026643A">
              <w:rPr>
                <w:rFonts w:asciiTheme="minorHAnsi" w:hAnsiTheme="minorHAnsi"/>
                <w:b/>
                <w:bCs/>
              </w:rPr>
              <w:t>û</w:t>
            </w:r>
            <w:r w:rsidR="002E5A07">
              <w:rPr>
                <w:rFonts w:asciiTheme="minorHAnsi" w:hAnsiTheme="minorHAnsi"/>
                <w:b/>
                <w:bCs/>
              </w:rPr>
              <w:t>ts associés à l’érosion des sols et à la turbidité de l’eau potable en contexte karstique</w:t>
            </w:r>
          </w:p>
          <w:p w14:paraId="14DCAD44" w14:textId="77777777" w:rsidR="003622B3" w:rsidRPr="00AF13E1" w:rsidRDefault="003622B3" w:rsidP="003622B3">
            <w:pPr>
              <w:rPr>
                <w:rFonts w:asciiTheme="minorHAnsi" w:hAnsiTheme="minorHAnsi"/>
                <w:sz w:val="10"/>
                <w:szCs w:val="10"/>
              </w:rPr>
            </w:pPr>
          </w:p>
          <w:p w14:paraId="70EFC245" w14:textId="77777777" w:rsidR="003622B3" w:rsidRPr="00AF13E1" w:rsidRDefault="003622B3" w:rsidP="003622B3">
            <w:pPr>
              <w:pStyle w:val="Titre6"/>
              <w:jc w:val="center"/>
              <w:rPr>
                <w:rFonts w:asciiTheme="minorHAnsi" w:hAnsiTheme="minorHAnsi"/>
                <w:bCs/>
                <w:sz w:val="28"/>
              </w:rPr>
            </w:pPr>
            <w:r w:rsidRPr="00AF13E1">
              <w:rPr>
                <w:rFonts w:asciiTheme="minorHAnsi" w:hAnsiTheme="minorHAnsi"/>
                <w:bCs/>
                <w:sz w:val="28"/>
              </w:rPr>
              <w:t>- Normandie, France -</w:t>
            </w:r>
          </w:p>
          <w:p w14:paraId="38FCD697" w14:textId="77777777" w:rsidR="003622B3" w:rsidRPr="00AF13E1" w:rsidRDefault="003622B3" w:rsidP="000E760E">
            <w:pPr>
              <w:rPr>
                <w:rFonts w:asciiTheme="minorHAnsi" w:hAnsiTheme="minorHAnsi"/>
              </w:rPr>
            </w:pPr>
          </w:p>
          <w:p w14:paraId="56C12CB4" w14:textId="77777777" w:rsidR="003622B3" w:rsidRPr="00AF13E1" w:rsidRDefault="003622B3" w:rsidP="002E5A07">
            <w:pPr>
              <w:rPr>
                <w:rFonts w:asciiTheme="minorHAnsi" w:hAnsiTheme="minorHAnsi"/>
                <w:bCs/>
                <w:iCs/>
                <w:sz w:val="20"/>
              </w:rPr>
            </w:pPr>
          </w:p>
        </w:tc>
      </w:tr>
      <w:tr w:rsidR="003622B3" w:rsidRPr="00AF13E1" w14:paraId="12844CED" w14:textId="77777777" w:rsidTr="003622B3">
        <w:trPr>
          <w:cantSplit/>
          <w:trHeight w:val="946"/>
        </w:trPr>
        <w:tc>
          <w:tcPr>
            <w:tcW w:w="2410" w:type="dxa"/>
            <w:vAlign w:val="center"/>
          </w:tcPr>
          <w:p w14:paraId="75314C1F" w14:textId="77777777" w:rsidR="002E5A07" w:rsidRDefault="002E5A07" w:rsidP="000E760E">
            <w:pPr>
              <w:jc w:val="center"/>
              <w:rPr>
                <w:rFonts w:asciiTheme="minorHAnsi" w:hAnsiTheme="minorHAnsi"/>
                <w:iCs/>
                <w:color w:val="999999"/>
                <w:sz w:val="20"/>
              </w:rPr>
            </w:pPr>
          </w:p>
          <w:p w14:paraId="7F4246A1" w14:textId="77777777" w:rsidR="002E5A07" w:rsidRDefault="002E5A07" w:rsidP="000E760E">
            <w:pPr>
              <w:jc w:val="center"/>
              <w:rPr>
                <w:rFonts w:asciiTheme="minorHAnsi" w:hAnsiTheme="minorHAnsi"/>
                <w:iCs/>
                <w:color w:val="999999"/>
                <w:sz w:val="20"/>
              </w:rPr>
            </w:pPr>
            <w:r w:rsidRPr="00AF13E1">
              <w:rPr>
                <w:rFonts w:asciiTheme="minorHAnsi" w:hAnsiTheme="minorHAnsi"/>
                <w:noProof/>
              </w:rPr>
              <w:drawing>
                <wp:inline distT="0" distB="0" distL="0" distR="0" wp14:anchorId="0EED8901" wp14:editId="49ADABA7">
                  <wp:extent cx="1458916" cy="511791"/>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89" t="13988" r="38371" b="47032"/>
                          <a:stretch>
                            <a:fillRect/>
                          </a:stretch>
                        </pic:blipFill>
                        <pic:spPr bwMode="auto">
                          <a:xfrm>
                            <a:off x="0" y="0"/>
                            <a:ext cx="1462734" cy="513130"/>
                          </a:xfrm>
                          <a:prstGeom prst="rect">
                            <a:avLst/>
                          </a:prstGeom>
                          <a:noFill/>
                          <a:ln>
                            <a:noFill/>
                          </a:ln>
                        </pic:spPr>
                      </pic:pic>
                    </a:graphicData>
                  </a:graphic>
                </wp:inline>
              </w:drawing>
            </w:r>
          </w:p>
          <w:p w14:paraId="2C9C9AFB" w14:textId="77777777" w:rsidR="003622B3" w:rsidRPr="00AF13E1" w:rsidRDefault="003622B3" w:rsidP="000E760E">
            <w:pPr>
              <w:jc w:val="center"/>
              <w:rPr>
                <w:rFonts w:asciiTheme="minorHAnsi" w:hAnsiTheme="minorHAnsi"/>
                <w:iCs/>
                <w:color w:val="999999"/>
                <w:sz w:val="20"/>
              </w:rPr>
            </w:pPr>
          </w:p>
          <w:p w14:paraId="0EF258D7" w14:textId="77777777" w:rsidR="003622B3" w:rsidRPr="00AF13E1" w:rsidRDefault="002E5A07" w:rsidP="000E760E">
            <w:pPr>
              <w:jc w:val="center"/>
              <w:rPr>
                <w:rFonts w:asciiTheme="minorHAnsi" w:hAnsiTheme="minorHAnsi"/>
                <w:iCs/>
                <w:color w:val="999999"/>
                <w:sz w:val="20"/>
              </w:rPr>
            </w:pPr>
            <w:r w:rsidRPr="00AF13E1">
              <w:rPr>
                <w:rFonts w:asciiTheme="minorHAnsi" w:hAnsiTheme="minorHAnsi" w:cs="Calibri Light"/>
                <w:noProof/>
              </w:rPr>
              <w:drawing>
                <wp:inline distT="0" distB="0" distL="0" distR="0" wp14:anchorId="269EF9AA" wp14:editId="3BDCB9FD">
                  <wp:extent cx="1163966" cy="558134"/>
                  <wp:effectExtent l="0" t="0" r="0" b="0"/>
                  <wp:docPr id="2" name="Image 1" descr="Logo AREAS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REAS 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787" cy="561884"/>
                          </a:xfrm>
                          <a:prstGeom prst="rect">
                            <a:avLst/>
                          </a:prstGeom>
                          <a:noFill/>
                          <a:ln>
                            <a:noFill/>
                          </a:ln>
                        </pic:spPr>
                      </pic:pic>
                    </a:graphicData>
                  </a:graphic>
                </wp:inline>
              </w:drawing>
            </w:r>
          </w:p>
          <w:p w14:paraId="0246F8CA" w14:textId="77777777" w:rsidR="003622B3" w:rsidRPr="00AF13E1" w:rsidRDefault="003622B3" w:rsidP="000E760E">
            <w:pPr>
              <w:jc w:val="center"/>
              <w:rPr>
                <w:rFonts w:asciiTheme="minorHAnsi" w:hAnsiTheme="minorHAnsi"/>
              </w:rPr>
            </w:pPr>
          </w:p>
        </w:tc>
        <w:tc>
          <w:tcPr>
            <w:tcW w:w="7655" w:type="dxa"/>
            <w:vMerge/>
          </w:tcPr>
          <w:p w14:paraId="77C31833" w14:textId="77777777" w:rsidR="003622B3" w:rsidRPr="00AF13E1" w:rsidRDefault="003622B3" w:rsidP="000E760E">
            <w:pPr>
              <w:rPr>
                <w:rFonts w:asciiTheme="minorHAnsi" w:hAnsiTheme="minorHAnsi"/>
                <w:noProof/>
                <w:sz w:val="20"/>
              </w:rPr>
            </w:pPr>
          </w:p>
        </w:tc>
      </w:tr>
    </w:tbl>
    <w:p w14:paraId="7887D5F8" w14:textId="77777777" w:rsidR="003622B3" w:rsidRPr="00AF13E1" w:rsidRDefault="003622B3">
      <w:pPr>
        <w:rPr>
          <w:rFonts w:asciiTheme="minorHAnsi" w:hAnsiTheme="minorHAnsi"/>
        </w:rPr>
      </w:pPr>
    </w:p>
    <w:p w14:paraId="0E287BF0" w14:textId="77777777" w:rsidR="002E5A07" w:rsidRPr="002E5A07" w:rsidRDefault="002E5A07" w:rsidP="002E5A07">
      <w:pPr>
        <w:rPr>
          <w:rFonts w:asciiTheme="minorHAnsi" w:hAnsiTheme="minorHAnsi"/>
          <w:b/>
        </w:rPr>
      </w:pPr>
      <w:r w:rsidRPr="002E5A07">
        <w:rPr>
          <w:rFonts w:asciiTheme="minorHAnsi" w:hAnsiTheme="minorHAnsi"/>
          <w:b/>
        </w:rPr>
        <w:t xml:space="preserve">Durée : </w:t>
      </w:r>
      <w:r>
        <w:rPr>
          <w:rFonts w:asciiTheme="minorHAnsi" w:hAnsiTheme="minorHAnsi"/>
          <w:b/>
        </w:rPr>
        <w:t>2 ans</w:t>
      </w:r>
    </w:p>
    <w:p w14:paraId="42276EF1" w14:textId="77777777" w:rsidR="002E5A07" w:rsidRPr="002E5A07" w:rsidRDefault="002E5A07" w:rsidP="002E5A07">
      <w:pPr>
        <w:rPr>
          <w:rFonts w:asciiTheme="minorHAnsi" w:hAnsiTheme="minorHAnsi"/>
        </w:rPr>
      </w:pPr>
    </w:p>
    <w:p w14:paraId="7DD7FBB3" w14:textId="77777777" w:rsidR="002E5A07" w:rsidRPr="002E5A07" w:rsidRDefault="002E5A07" w:rsidP="002E5A07">
      <w:pPr>
        <w:rPr>
          <w:rFonts w:asciiTheme="minorHAnsi" w:hAnsiTheme="minorHAnsi"/>
          <w:b/>
        </w:rPr>
      </w:pPr>
      <w:r w:rsidRPr="002E5A07">
        <w:rPr>
          <w:rFonts w:asciiTheme="minorHAnsi" w:hAnsiTheme="minorHAnsi"/>
          <w:b/>
        </w:rPr>
        <w:t>Contact</w:t>
      </w:r>
      <w:bookmarkStart w:id="0" w:name="_GoBack"/>
      <w:bookmarkEnd w:id="0"/>
    </w:p>
    <w:p w14:paraId="61DFEE4C" w14:textId="77777777" w:rsidR="002E5A07" w:rsidRPr="002E5A07" w:rsidRDefault="002E5A07" w:rsidP="002E5A07">
      <w:pPr>
        <w:rPr>
          <w:rFonts w:asciiTheme="minorHAnsi" w:hAnsiTheme="minorHAnsi"/>
        </w:rPr>
      </w:pPr>
      <w:r>
        <w:rPr>
          <w:rFonts w:asciiTheme="minorHAnsi" w:hAnsiTheme="minorHAnsi"/>
        </w:rPr>
        <w:t>Benoît LAIGNEL</w:t>
      </w:r>
      <w:r w:rsidRPr="002E5A07">
        <w:rPr>
          <w:rFonts w:asciiTheme="minorHAnsi" w:hAnsiTheme="minorHAnsi"/>
        </w:rPr>
        <w:t>, UMR CNRS 6143 M2C (</w:t>
      </w:r>
      <w:proofErr w:type="spellStart"/>
      <w:r w:rsidRPr="002E5A07">
        <w:rPr>
          <w:rFonts w:asciiTheme="minorHAnsi" w:hAnsiTheme="minorHAnsi"/>
        </w:rPr>
        <w:t>Morphodynamique</w:t>
      </w:r>
      <w:proofErr w:type="spellEnd"/>
      <w:r w:rsidRPr="002E5A07">
        <w:rPr>
          <w:rFonts w:asciiTheme="minorHAnsi" w:hAnsiTheme="minorHAnsi"/>
        </w:rPr>
        <w:t xml:space="preserve"> Continentale et </w:t>
      </w:r>
      <w:proofErr w:type="spellStart"/>
      <w:r w:rsidRPr="002E5A07">
        <w:rPr>
          <w:rFonts w:asciiTheme="minorHAnsi" w:hAnsiTheme="minorHAnsi"/>
        </w:rPr>
        <w:t>Cotière</w:t>
      </w:r>
      <w:proofErr w:type="spellEnd"/>
      <w:r w:rsidRPr="002E5A07">
        <w:rPr>
          <w:rFonts w:asciiTheme="minorHAnsi" w:hAnsiTheme="minorHAnsi"/>
        </w:rPr>
        <w:t xml:space="preserve">), Université de Rouen, Place E. Blondel, 76821 Mont Saint Aignan, </w:t>
      </w:r>
    </w:p>
    <w:p w14:paraId="66C5C594" w14:textId="77777777" w:rsidR="002E5A07" w:rsidRDefault="00490037" w:rsidP="002E5A07">
      <w:pPr>
        <w:rPr>
          <w:rFonts w:asciiTheme="minorHAnsi" w:hAnsiTheme="minorHAnsi"/>
        </w:rPr>
      </w:pPr>
      <w:hyperlink r:id="rId9" w:history="1">
        <w:r w:rsidR="002E5A07" w:rsidRPr="007D3332">
          <w:rPr>
            <w:rStyle w:val="Lienhypertexte"/>
            <w:rFonts w:asciiTheme="minorHAnsi" w:hAnsiTheme="minorHAnsi"/>
          </w:rPr>
          <w:t>benoit.laignel@univ-rouen.fr</w:t>
        </w:r>
      </w:hyperlink>
      <w:r w:rsidR="002E5A07" w:rsidRPr="002E5A07">
        <w:rPr>
          <w:rFonts w:asciiTheme="minorHAnsi" w:hAnsiTheme="minorHAnsi"/>
        </w:rPr>
        <w:t>, Tel. +33 (0)235146</w:t>
      </w:r>
      <w:r w:rsidR="002E5A07">
        <w:rPr>
          <w:rFonts w:asciiTheme="minorHAnsi" w:hAnsiTheme="minorHAnsi"/>
        </w:rPr>
        <w:t>730</w:t>
      </w:r>
    </w:p>
    <w:p w14:paraId="4C39B527" w14:textId="77777777" w:rsidR="002E5A07" w:rsidRPr="002E5A07" w:rsidRDefault="002E5A07" w:rsidP="002E5A07">
      <w:pPr>
        <w:rPr>
          <w:rFonts w:asciiTheme="minorHAnsi" w:hAnsiTheme="minorHAnsi"/>
        </w:rPr>
      </w:pPr>
    </w:p>
    <w:p w14:paraId="5CE772B5" w14:textId="77777777" w:rsidR="002E5A07" w:rsidRPr="002E5A07" w:rsidRDefault="002E5A07" w:rsidP="002E5A07">
      <w:pPr>
        <w:rPr>
          <w:rFonts w:asciiTheme="minorHAnsi" w:hAnsiTheme="minorHAnsi"/>
          <w:b/>
          <w:bCs/>
        </w:rPr>
      </w:pPr>
      <w:r w:rsidRPr="002E5A07">
        <w:rPr>
          <w:rFonts w:asciiTheme="minorHAnsi" w:hAnsiTheme="minorHAnsi"/>
          <w:b/>
          <w:bCs/>
        </w:rPr>
        <w:t>Laboratoire d'accueil</w:t>
      </w:r>
    </w:p>
    <w:p w14:paraId="362865EB" w14:textId="77777777" w:rsidR="002E5A07" w:rsidRPr="002E5A07" w:rsidRDefault="002E5A07" w:rsidP="002E5A07">
      <w:pPr>
        <w:rPr>
          <w:rFonts w:asciiTheme="minorHAnsi" w:hAnsiTheme="minorHAnsi"/>
        </w:rPr>
      </w:pPr>
      <w:r w:rsidRPr="002E5A07">
        <w:rPr>
          <w:rFonts w:asciiTheme="minorHAnsi" w:hAnsiTheme="minorHAnsi"/>
        </w:rPr>
        <w:t>UMR CNRS 6143 M2C (</w:t>
      </w:r>
      <w:proofErr w:type="spellStart"/>
      <w:r w:rsidRPr="002E5A07">
        <w:rPr>
          <w:rFonts w:asciiTheme="minorHAnsi" w:hAnsiTheme="minorHAnsi"/>
        </w:rPr>
        <w:t>Morphodynamique</w:t>
      </w:r>
      <w:proofErr w:type="spellEnd"/>
      <w:r w:rsidRPr="002E5A07">
        <w:rPr>
          <w:rFonts w:asciiTheme="minorHAnsi" w:hAnsiTheme="minorHAnsi"/>
        </w:rPr>
        <w:t xml:space="preserve"> Continentale et Côtière), Université de Rouen-Caen, Bâtiment Blondel, Place Emile Blondel, 76821 Mont Saint Aignan</w:t>
      </w:r>
    </w:p>
    <w:p w14:paraId="46DAABE2" w14:textId="77777777" w:rsidR="002E5A07" w:rsidRPr="002E5A07" w:rsidRDefault="002E5A07" w:rsidP="002E5A07">
      <w:pPr>
        <w:rPr>
          <w:rFonts w:asciiTheme="minorHAnsi" w:hAnsiTheme="minorHAnsi"/>
        </w:rPr>
      </w:pPr>
    </w:p>
    <w:p w14:paraId="4E00C9D4" w14:textId="77777777" w:rsidR="002E5A07" w:rsidRPr="002E5A07" w:rsidRDefault="002E5A07" w:rsidP="002E5A07">
      <w:pPr>
        <w:rPr>
          <w:rFonts w:asciiTheme="minorHAnsi" w:hAnsiTheme="minorHAnsi"/>
          <w:b/>
        </w:rPr>
      </w:pPr>
      <w:r w:rsidRPr="002E5A07">
        <w:rPr>
          <w:rFonts w:asciiTheme="minorHAnsi" w:hAnsiTheme="minorHAnsi"/>
          <w:b/>
        </w:rPr>
        <w:t>Documents nécessaires pour le dossier de candidature</w:t>
      </w:r>
    </w:p>
    <w:p w14:paraId="0F4BA3DC" w14:textId="3BEB8D1C" w:rsidR="002E5A07" w:rsidRPr="00A714B4" w:rsidRDefault="002E5A07" w:rsidP="002E5A07">
      <w:pPr>
        <w:rPr>
          <w:rFonts w:asciiTheme="minorHAnsi" w:hAnsiTheme="minorHAnsi"/>
        </w:rPr>
      </w:pPr>
      <w:r w:rsidRPr="00A714B4">
        <w:rPr>
          <w:rFonts w:asciiTheme="minorHAnsi" w:hAnsiTheme="minorHAnsi"/>
        </w:rPr>
        <w:t xml:space="preserve">Lettre de motivation, CV, </w:t>
      </w:r>
      <w:r w:rsidR="000E760E" w:rsidRPr="00A714B4">
        <w:rPr>
          <w:rFonts w:asciiTheme="minorHAnsi" w:hAnsiTheme="minorHAnsi"/>
        </w:rPr>
        <w:t>A</w:t>
      </w:r>
      <w:r w:rsidRPr="00A714B4">
        <w:rPr>
          <w:rFonts w:asciiTheme="minorHAnsi" w:hAnsiTheme="minorHAnsi"/>
        </w:rPr>
        <w:t>ttestation ou diplô</w:t>
      </w:r>
      <w:r w:rsidR="000E760E" w:rsidRPr="00A714B4">
        <w:rPr>
          <w:rFonts w:asciiTheme="minorHAnsi" w:hAnsiTheme="minorHAnsi"/>
        </w:rPr>
        <w:t xml:space="preserve">me </w:t>
      </w:r>
      <w:r w:rsidR="00A714B4" w:rsidRPr="00A714B4">
        <w:rPr>
          <w:rFonts w:asciiTheme="minorHAnsi" w:hAnsiTheme="minorHAnsi"/>
        </w:rPr>
        <w:t>(Ingénieur ou Docteur)</w:t>
      </w:r>
    </w:p>
    <w:p w14:paraId="63D9DA3B" w14:textId="77777777" w:rsidR="002E5A07" w:rsidRPr="002E5A07" w:rsidRDefault="002E5A07" w:rsidP="002E5A07">
      <w:pPr>
        <w:rPr>
          <w:rFonts w:asciiTheme="minorHAnsi" w:hAnsiTheme="minorHAnsi"/>
        </w:rPr>
      </w:pPr>
      <w:r w:rsidRPr="002E5A07">
        <w:rPr>
          <w:rFonts w:asciiTheme="minorHAnsi" w:hAnsiTheme="minorHAnsi"/>
        </w:rPr>
        <w:t>Coordonnées et noms de deux référents</w:t>
      </w:r>
    </w:p>
    <w:p w14:paraId="3795E2D3" w14:textId="77777777" w:rsidR="002E5A07" w:rsidRPr="002E5A07" w:rsidRDefault="002E5A07" w:rsidP="002E5A07">
      <w:pPr>
        <w:rPr>
          <w:rFonts w:asciiTheme="minorHAnsi" w:hAnsiTheme="minorHAnsi"/>
        </w:rPr>
      </w:pPr>
    </w:p>
    <w:p w14:paraId="0C2B86E2" w14:textId="77777777" w:rsidR="002E5A07" w:rsidRPr="002E5A07" w:rsidRDefault="002E5A07" w:rsidP="002E5A07">
      <w:pPr>
        <w:rPr>
          <w:rFonts w:asciiTheme="minorHAnsi" w:hAnsiTheme="minorHAnsi"/>
          <w:b/>
        </w:rPr>
      </w:pPr>
      <w:r w:rsidRPr="002E5A07">
        <w:rPr>
          <w:rFonts w:asciiTheme="minorHAnsi" w:hAnsiTheme="minorHAnsi"/>
          <w:b/>
        </w:rPr>
        <w:t>Calendrier de la procédure de recrutement</w:t>
      </w:r>
    </w:p>
    <w:p w14:paraId="7CE2317D" w14:textId="0C90AAF7" w:rsidR="002E5A07" w:rsidRPr="002E5A07" w:rsidRDefault="002E5A07" w:rsidP="002E5A07">
      <w:pPr>
        <w:rPr>
          <w:rFonts w:asciiTheme="minorHAnsi" w:hAnsiTheme="minorHAnsi"/>
        </w:rPr>
      </w:pPr>
      <w:r w:rsidRPr="002E5A07">
        <w:rPr>
          <w:rFonts w:asciiTheme="minorHAnsi" w:hAnsiTheme="minorHAnsi"/>
        </w:rPr>
        <w:t xml:space="preserve">Dépôt du dossier par courrier ou voie électronique à l’adresse du contact ci-dessus jusqu’au </w:t>
      </w:r>
      <w:r w:rsidR="007C1968">
        <w:rPr>
          <w:rFonts w:asciiTheme="minorHAnsi" w:hAnsiTheme="minorHAnsi"/>
          <w:b/>
          <w:color w:val="3366FF"/>
          <w:u w:val="single"/>
        </w:rPr>
        <w:t>6</w:t>
      </w:r>
      <w:r w:rsidRPr="009F180E">
        <w:rPr>
          <w:rFonts w:asciiTheme="minorHAnsi" w:hAnsiTheme="minorHAnsi"/>
          <w:b/>
          <w:color w:val="3366FF"/>
          <w:u w:val="single"/>
        </w:rPr>
        <w:t xml:space="preserve"> </w:t>
      </w:r>
      <w:r w:rsidR="007C1968">
        <w:rPr>
          <w:rFonts w:asciiTheme="minorHAnsi" w:hAnsiTheme="minorHAnsi"/>
          <w:b/>
          <w:color w:val="3366FF"/>
          <w:u w:val="single"/>
        </w:rPr>
        <w:t>avril</w:t>
      </w:r>
    </w:p>
    <w:p w14:paraId="0C917AC1" w14:textId="64D0E9F2" w:rsidR="002E5A07" w:rsidRPr="002E5A07" w:rsidRDefault="002E5A07" w:rsidP="002E5A07">
      <w:pPr>
        <w:rPr>
          <w:rFonts w:asciiTheme="minorHAnsi" w:hAnsiTheme="minorHAnsi"/>
        </w:rPr>
      </w:pPr>
      <w:r w:rsidRPr="002E5A07">
        <w:rPr>
          <w:rFonts w:asciiTheme="minorHAnsi" w:hAnsiTheme="minorHAnsi"/>
        </w:rPr>
        <w:t xml:space="preserve">Sélection </w:t>
      </w:r>
      <w:r w:rsidR="00A714B4">
        <w:rPr>
          <w:rFonts w:asciiTheme="minorHAnsi" w:hAnsiTheme="minorHAnsi"/>
        </w:rPr>
        <w:t>des candidats sur dossier : début avril</w:t>
      </w:r>
    </w:p>
    <w:p w14:paraId="441EF8C8" w14:textId="77777777" w:rsidR="002E5A07" w:rsidRPr="002E5A07" w:rsidRDefault="002E5A07" w:rsidP="002E5A07">
      <w:pPr>
        <w:rPr>
          <w:rFonts w:asciiTheme="minorHAnsi" w:hAnsiTheme="minorHAnsi"/>
        </w:rPr>
      </w:pPr>
      <w:r w:rsidRPr="002E5A07">
        <w:rPr>
          <w:rFonts w:asciiTheme="minorHAnsi" w:hAnsiTheme="minorHAnsi"/>
        </w:rPr>
        <w:t xml:space="preserve">Entretien par </w:t>
      </w:r>
      <w:proofErr w:type="spellStart"/>
      <w:r w:rsidRPr="002E5A07">
        <w:rPr>
          <w:rFonts w:asciiTheme="minorHAnsi" w:hAnsiTheme="minorHAnsi"/>
        </w:rPr>
        <w:t>visio</w:t>
      </w:r>
      <w:proofErr w:type="spellEnd"/>
      <w:r w:rsidRPr="002E5A07">
        <w:rPr>
          <w:rFonts w:asciiTheme="minorHAnsi" w:hAnsiTheme="minorHAnsi"/>
        </w:rPr>
        <w:t xml:space="preserve"> : </w:t>
      </w:r>
      <w:r w:rsidR="007470B3">
        <w:rPr>
          <w:rFonts w:asciiTheme="minorHAnsi" w:hAnsiTheme="minorHAnsi"/>
        </w:rPr>
        <w:t>17 avril 2018</w:t>
      </w:r>
    </w:p>
    <w:p w14:paraId="733AF31C" w14:textId="049FB228" w:rsidR="002E5A07" w:rsidRPr="002E5A07" w:rsidRDefault="002E5A07" w:rsidP="002E5A07">
      <w:pPr>
        <w:rPr>
          <w:rFonts w:asciiTheme="minorHAnsi" w:hAnsiTheme="minorHAnsi"/>
        </w:rPr>
      </w:pPr>
      <w:r w:rsidRPr="002E5A07">
        <w:rPr>
          <w:rFonts w:asciiTheme="minorHAnsi" w:hAnsiTheme="minorHAnsi"/>
        </w:rPr>
        <w:t xml:space="preserve">Début du contrat 1 </w:t>
      </w:r>
      <w:r w:rsidR="00855635">
        <w:rPr>
          <w:rFonts w:asciiTheme="minorHAnsi" w:hAnsiTheme="minorHAnsi"/>
        </w:rPr>
        <w:t>juin</w:t>
      </w:r>
    </w:p>
    <w:p w14:paraId="378D6CF0" w14:textId="77777777" w:rsidR="002E5A07" w:rsidRPr="002E5A07" w:rsidRDefault="002E5A07" w:rsidP="002E5A07">
      <w:pPr>
        <w:rPr>
          <w:rFonts w:asciiTheme="minorHAnsi" w:hAnsiTheme="minorHAnsi"/>
        </w:rPr>
      </w:pPr>
    </w:p>
    <w:p w14:paraId="4798FF17" w14:textId="77777777" w:rsidR="002E5A07" w:rsidRPr="002E5A07" w:rsidRDefault="002E5A07" w:rsidP="002E5A07">
      <w:pPr>
        <w:rPr>
          <w:rFonts w:asciiTheme="minorHAnsi" w:hAnsiTheme="minorHAnsi"/>
          <w:b/>
        </w:rPr>
      </w:pPr>
      <w:r w:rsidRPr="002E5A07">
        <w:rPr>
          <w:rFonts w:asciiTheme="minorHAnsi" w:hAnsiTheme="minorHAnsi"/>
          <w:b/>
        </w:rPr>
        <w:t>Equipe encadrante</w:t>
      </w:r>
    </w:p>
    <w:p w14:paraId="537EEF45" w14:textId="77777777" w:rsidR="002E5A07" w:rsidRDefault="002E5A07" w:rsidP="002E5A07">
      <w:pPr>
        <w:rPr>
          <w:rFonts w:asciiTheme="minorHAnsi" w:hAnsiTheme="minorHAnsi"/>
        </w:rPr>
      </w:pPr>
      <w:r w:rsidRPr="002E5A07">
        <w:rPr>
          <w:rFonts w:asciiTheme="minorHAnsi" w:hAnsiTheme="minorHAnsi"/>
        </w:rPr>
        <w:t>Benoit Laignel</w:t>
      </w:r>
      <w:r>
        <w:rPr>
          <w:rFonts w:asciiTheme="minorHAnsi" w:hAnsiTheme="minorHAnsi"/>
        </w:rPr>
        <w:t xml:space="preserve"> et Nicolas </w:t>
      </w:r>
      <w:proofErr w:type="spellStart"/>
      <w:r>
        <w:rPr>
          <w:rFonts w:asciiTheme="minorHAnsi" w:hAnsiTheme="minorHAnsi"/>
        </w:rPr>
        <w:t>Massei</w:t>
      </w:r>
      <w:proofErr w:type="spellEnd"/>
      <w:r w:rsidRPr="002E5A07">
        <w:rPr>
          <w:rFonts w:asciiTheme="minorHAnsi" w:hAnsiTheme="minorHAnsi"/>
        </w:rPr>
        <w:t>, UMR CNRS 6143 M2C (</w:t>
      </w:r>
      <w:proofErr w:type="spellStart"/>
      <w:r w:rsidRPr="002E5A07">
        <w:rPr>
          <w:rFonts w:asciiTheme="minorHAnsi" w:hAnsiTheme="minorHAnsi"/>
        </w:rPr>
        <w:t>Morphodynamique</w:t>
      </w:r>
      <w:proofErr w:type="spellEnd"/>
      <w:r w:rsidRPr="002E5A07">
        <w:rPr>
          <w:rFonts w:asciiTheme="minorHAnsi" w:hAnsiTheme="minorHAnsi"/>
        </w:rPr>
        <w:t xml:space="preserve"> Continentale et </w:t>
      </w:r>
      <w:proofErr w:type="spellStart"/>
      <w:r w:rsidRPr="002E5A07">
        <w:rPr>
          <w:rFonts w:asciiTheme="minorHAnsi" w:hAnsiTheme="minorHAnsi"/>
        </w:rPr>
        <w:t>Cotière</w:t>
      </w:r>
      <w:proofErr w:type="spellEnd"/>
      <w:r w:rsidRPr="002E5A07">
        <w:rPr>
          <w:rFonts w:asciiTheme="minorHAnsi" w:hAnsiTheme="minorHAnsi"/>
        </w:rPr>
        <w:t>), Université de Rouen</w:t>
      </w:r>
    </w:p>
    <w:p w14:paraId="47AE02B5" w14:textId="0B80FC61" w:rsidR="002E5A07" w:rsidRDefault="002E5A07" w:rsidP="002E5A07">
      <w:pPr>
        <w:rPr>
          <w:rFonts w:asciiTheme="minorHAnsi" w:hAnsiTheme="minorHAnsi"/>
        </w:rPr>
      </w:pPr>
      <w:r>
        <w:rPr>
          <w:rFonts w:asciiTheme="minorHAnsi" w:hAnsiTheme="minorHAnsi"/>
        </w:rPr>
        <w:t xml:space="preserve">Jean-Daniel Rinaudo et Olivier Cerdan, </w:t>
      </w:r>
      <w:r w:rsidRPr="002E5A07">
        <w:rPr>
          <w:rFonts w:asciiTheme="minorHAnsi" w:hAnsiTheme="minorHAnsi"/>
        </w:rPr>
        <w:t>BRGM</w:t>
      </w:r>
    </w:p>
    <w:p w14:paraId="79AAAF05" w14:textId="77777777" w:rsidR="002E5A07" w:rsidRPr="00490037" w:rsidRDefault="002E5A07" w:rsidP="002E5A07">
      <w:pPr>
        <w:rPr>
          <w:rFonts w:asciiTheme="minorHAnsi" w:hAnsiTheme="minorHAnsi"/>
        </w:rPr>
      </w:pPr>
      <w:r w:rsidRPr="00490037">
        <w:rPr>
          <w:rFonts w:asciiTheme="minorHAnsi" w:hAnsiTheme="minorHAnsi"/>
        </w:rPr>
        <w:t>Jean-François Ouvry et Jérôme Ledun, AREAS</w:t>
      </w:r>
    </w:p>
    <w:p w14:paraId="240947C8" w14:textId="77777777" w:rsidR="002E5A07" w:rsidRDefault="002E5A07" w:rsidP="002E5A07">
      <w:pPr>
        <w:rPr>
          <w:rFonts w:asciiTheme="minorHAnsi" w:hAnsiTheme="minorHAnsi"/>
        </w:rPr>
      </w:pPr>
    </w:p>
    <w:p w14:paraId="624F2965" w14:textId="77777777" w:rsidR="007C6EDD" w:rsidRPr="002E5A07" w:rsidRDefault="007C6EDD" w:rsidP="002E5A07">
      <w:pPr>
        <w:rPr>
          <w:rFonts w:asciiTheme="minorHAnsi" w:hAnsiTheme="minorHAnsi"/>
        </w:rPr>
      </w:pPr>
    </w:p>
    <w:p w14:paraId="13138BF7" w14:textId="11F3E26F" w:rsidR="002E5A07" w:rsidRDefault="002E5A07" w:rsidP="002E5A07">
      <w:pPr>
        <w:rPr>
          <w:rFonts w:asciiTheme="minorHAnsi" w:hAnsiTheme="minorHAnsi"/>
          <w:b/>
          <w:bCs/>
        </w:rPr>
      </w:pPr>
      <w:r w:rsidRPr="002E5A07">
        <w:rPr>
          <w:rFonts w:asciiTheme="minorHAnsi" w:hAnsiTheme="minorHAnsi"/>
          <w:b/>
          <w:bCs/>
        </w:rPr>
        <w:t>Description du sujet</w:t>
      </w:r>
      <w:r w:rsidR="007C6EDD">
        <w:rPr>
          <w:rFonts w:asciiTheme="minorHAnsi" w:hAnsiTheme="minorHAnsi"/>
          <w:b/>
          <w:bCs/>
        </w:rPr>
        <w:t> : contexte et objectifs</w:t>
      </w:r>
    </w:p>
    <w:p w14:paraId="6FED4111" w14:textId="77777777" w:rsidR="002E5A07" w:rsidRDefault="002E5A07" w:rsidP="002E5A07">
      <w:pPr>
        <w:rPr>
          <w:rFonts w:asciiTheme="minorHAnsi" w:hAnsiTheme="minorHAnsi"/>
          <w:b/>
          <w:bCs/>
        </w:rPr>
      </w:pPr>
    </w:p>
    <w:p w14:paraId="7BE62E2C" w14:textId="77777777" w:rsidR="002E5A07" w:rsidRDefault="002E5A07" w:rsidP="002E5A07">
      <w:pPr>
        <w:ind w:left="497"/>
        <w:rPr>
          <w:rFonts w:asciiTheme="minorHAnsi" w:hAnsiTheme="minorHAnsi"/>
          <w:bCs/>
          <w:u w:val="single"/>
        </w:rPr>
      </w:pPr>
      <w:r w:rsidRPr="002E5A07">
        <w:rPr>
          <w:rFonts w:asciiTheme="minorHAnsi" w:hAnsiTheme="minorHAnsi"/>
          <w:bCs/>
          <w:u w:val="single"/>
        </w:rPr>
        <w:t>Contexte</w:t>
      </w:r>
    </w:p>
    <w:p w14:paraId="658FBC66" w14:textId="77777777" w:rsidR="003936E6" w:rsidRPr="002E5A07" w:rsidRDefault="003936E6" w:rsidP="002E5A07">
      <w:pPr>
        <w:ind w:left="497"/>
        <w:rPr>
          <w:rFonts w:asciiTheme="minorHAnsi" w:hAnsiTheme="minorHAnsi"/>
          <w:bCs/>
          <w:u w:val="single"/>
        </w:rPr>
      </w:pPr>
    </w:p>
    <w:p w14:paraId="488637B5" w14:textId="77777777" w:rsidR="002E5A07" w:rsidRPr="00AF13E1" w:rsidRDefault="002E5A07" w:rsidP="002E5A07">
      <w:pPr>
        <w:pStyle w:val="Corpsdetexte"/>
        <w:ind w:firstLine="497"/>
        <w:rPr>
          <w:rFonts w:asciiTheme="minorHAnsi" w:hAnsiTheme="minorHAnsi"/>
        </w:rPr>
      </w:pPr>
      <w:r w:rsidRPr="00AF13E1">
        <w:rPr>
          <w:rFonts w:asciiTheme="minorHAnsi" w:hAnsiTheme="minorHAnsi"/>
        </w:rPr>
        <w:t xml:space="preserve">La Région </w:t>
      </w:r>
      <w:r>
        <w:rPr>
          <w:rFonts w:asciiTheme="minorHAnsi" w:hAnsiTheme="minorHAnsi"/>
        </w:rPr>
        <w:t>Haute-Normandie</w:t>
      </w:r>
      <w:r w:rsidRPr="00AF13E1">
        <w:rPr>
          <w:rFonts w:asciiTheme="minorHAnsi" w:hAnsiTheme="minorHAnsi"/>
        </w:rPr>
        <w:t xml:space="preserve"> est caractérisée par son hyper-sensibilité aux ruissellements sur tout le territoire avec des conséquences</w:t>
      </w:r>
      <w:r>
        <w:rPr>
          <w:rFonts w:asciiTheme="minorHAnsi" w:hAnsiTheme="minorHAnsi"/>
        </w:rPr>
        <w:t xml:space="preserve"> sociales et environnementales</w:t>
      </w:r>
      <w:r w:rsidRPr="00AF13E1">
        <w:rPr>
          <w:rFonts w:asciiTheme="minorHAnsi" w:hAnsiTheme="minorHAnsi"/>
        </w:rPr>
        <w:t xml:space="preserve"> fortes. En effet, d’une part, la région subit des inondations par ruissellement / coulées de boue dont la densité par km</w:t>
      </w:r>
      <w:r w:rsidRPr="00AF13E1">
        <w:rPr>
          <w:rFonts w:asciiTheme="minorHAnsi" w:hAnsiTheme="minorHAnsi"/>
          <w:vertAlign w:val="superscript"/>
        </w:rPr>
        <w:t>2</w:t>
      </w:r>
      <w:r w:rsidRPr="00AF13E1">
        <w:rPr>
          <w:rFonts w:asciiTheme="minorHAnsi" w:hAnsiTheme="minorHAnsi"/>
        </w:rPr>
        <w:t xml:space="preserve"> classe la Région Haute Normandie au 2</w:t>
      </w:r>
      <w:r w:rsidRPr="00AF13E1">
        <w:rPr>
          <w:rFonts w:asciiTheme="minorHAnsi" w:hAnsiTheme="minorHAnsi"/>
          <w:vertAlign w:val="superscript"/>
        </w:rPr>
        <w:t>ème</w:t>
      </w:r>
      <w:r w:rsidRPr="00AF13E1">
        <w:rPr>
          <w:rFonts w:asciiTheme="minorHAnsi" w:hAnsiTheme="minorHAnsi"/>
        </w:rPr>
        <w:t xml:space="preserve"> rang en France </w:t>
      </w:r>
      <w:r w:rsidRPr="00AF13E1">
        <w:rPr>
          <w:rFonts w:asciiTheme="minorHAnsi" w:hAnsiTheme="minorHAnsi"/>
          <w:i/>
          <w:sz w:val="20"/>
        </w:rPr>
        <w:t xml:space="preserve">(INRA </w:t>
      </w:r>
      <w:proofErr w:type="spellStart"/>
      <w:r w:rsidRPr="00AF13E1">
        <w:rPr>
          <w:rFonts w:asciiTheme="minorHAnsi" w:hAnsiTheme="minorHAnsi"/>
          <w:i/>
          <w:sz w:val="20"/>
        </w:rPr>
        <w:t>Lebissonnais</w:t>
      </w:r>
      <w:proofErr w:type="spellEnd"/>
      <w:r w:rsidRPr="00AF13E1">
        <w:rPr>
          <w:rFonts w:asciiTheme="minorHAnsi" w:hAnsiTheme="minorHAnsi"/>
          <w:i/>
          <w:sz w:val="20"/>
        </w:rPr>
        <w:t xml:space="preserve"> 2002)</w:t>
      </w:r>
      <w:r w:rsidRPr="00AF13E1">
        <w:rPr>
          <w:rFonts w:asciiTheme="minorHAnsi" w:hAnsiTheme="minorHAnsi"/>
        </w:rPr>
        <w:t xml:space="preserve">. D’autre part, la Région souffre d’un problème de turbidité des captages, en lien avec l’érosion des terres. Près de 50 % des points d’alimentation en eau potable sont touchés par la turbidité (eau brute) et selon les années, entre 1 000 et 20 000 habitants sont encore privés d’eau potable quelques jours par an suite à </w:t>
      </w:r>
      <w:r w:rsidRPr="00AF13E1">
        <w:rPr>
          <w:rFonts w:asciiTheme="minorHAnsi" w:hAnsiTheme="minorHAnsi"/>
        </w:rPr>
        <w:lastRenderedPageBreak/>
        <w:t xml:space="preserve">ces phénomènes </w:t>
      </w:r>
      <w:r w:rsidRPr="00AF13E1">
        <w:rPr>
          <w:rFonts w:asciiTheme="minorHAnsi" w:hAnsiTheme="minorHAnsi"/>
          <w:i/>
          <w:sz w:val="20"/>
        </w:rPr>
        <w:t>(ARS 2013)</w:t>
      </w:r>
      <w:r w:rsidRPr="00AF13E1">
        <w:rPr>
          <w:rFonts w:asciiTheme="minorHAnsi" w:hAnsiTheme="minorHAnsi"/>
        </w:rPr>
        <w:t xml:space="preserve">. En outre, les questions de présence de produits phytosanitaires retrouvée dans les eaux brutes, dont une partie provient des ruissellements, concernent 50 000 habitants de façon chronique et plus de 100 000 habitants de façon ponctuelle </w:t>
      </w:r>
      <w:r w:rsidRPr="00AF13E1">
        <w:rPr>
          <w:rFonts w:asciiTheme="minorHAnsi" w:hAnsiTheme="minorHAnsi"/>
          <w:i/>
          <w:sz w:val="20"/>
        </w:rPr>
        <w:t>(ARS 2013)</w:t>
      </w:r>
      <w:r w:rsidRPr="00AF13E1">
        <w:rPr>
          <w:rFonts w:asciiTheme="minorHAnsi" w:hAnsiTheme="minorHAnsi"/>
        </w:rPr>
        <w:t xml:space="preserve">. Quant à l’érosion des sols, 75% du territoire de la Seine Maritime et 50% du territoire de l’Eure sont concernés de façon importante </w:t>
      </w:r>
      <w:r w:rsidRPr="00AF13E1">
        <w:rPr>
          <w:rFonts w:asciiTheme="minorHAnsi" w:hAnsiTheme="minorHAnsi"/>
          <w:i/>
          <w:sz w:val="20"/>
        </w:rPr>
        <w:t>(BRGM-INRA 2000, BRGM 2010)</w:t>
      </w:r>
      <w:r w:rsidRPr="00AF13E1">
        <w:rPr>
          <w:rFonts w:asciiTheme="minorHAnsi" w:hAnsiTheme="minorHAnsi"/>
        </w:rPr>
        <w:t>.</w:t>
      </w:r>
    </w:p>
    <w:p w14:paraId="6013FFFB" w14:textId="77777777" w:rsidR="002E5A07" w:rsidRPr="00AF13E1" w:rsidRDefault="002E5A07" w:rsidP="002E5A07">
      <w:pPr>
        <w:jc w:val="both"/>
        <w:rPr>
          <w:rFonts w:asciiTheme="minorHAnsi" w:hAnsiTheme="minorHAnsi"/>
        </w:rPr>
      </w:pPr>
    </w:p>
    <w:p w14:paraId="7A50293B" w14:textId="77777777" w:rsidR="002E5A07" w:rsidRPr="00AF13E1" w:rsidRDefault="002E5A07" w:rsidP="002E5A07">
      <w:pPr>
        <w:jc w:val="both"/>
        <w:rPr>
          <w:rFonts w:asciiTheme="minorHAnsi" w:hAnsiTheme="minorHAnsi"/>
          <w:sz w:val="22"/>
        </w:rPr>
      </w:pPr>
      <w:r>
        <w:rPr>
          <w:rFonts w:asciiTheme="minorHAnsi" w:hAnsiTheme="minorHAnsi"/>
          <w:sz w:val="22"/>
        </w:rPr>
        <w:t>Cette situation résulte</w:t>
      </w:r>
      <w:r w:rsidRPr="00AF13E1">
        <w:rPr>
          <w:rFonts w:asciiTheme="minorHAnsi" w:hAnsiTheme="minorHAnsi"/>
          <w:sz w:val="22"/>
        </w:rPr>
        <w:t xml:space="preserve"> de la conjonction de nombreux paramètres, n</w:t>
      </w:r>
      <w:r>
        <w:rPr>
          <w:rFonts w:asciiTheme="minorHAnsi" w:hAnsiTheme="minorHAnsi"/>
          <w:sz w:val="22"/>
        </w:rPr>
        <w:t>otamment la nature des sols, l’évolution des</w:t>
      </w:r>
      <w:r w:rsidRPr="00AF13E1">
        <w:rPr>
          <w:rFonts w:asciiTheme="minorHAnsi" w:hAnsiTheme="minorHAnsi"/>
          <w:sz w:val="22"/>
        </w:rPr>
        <w:t xml:space="preserve"> types et systèmes d’agriculture</w:t>
      </w:r>
      <w:r>
        <w:rPr>
          <w:rFonts w:asciiTheme="minorHAnsi" w:hAnsiTheme="minorHAnsi"/>
          <w:sz w:val="22"/>
        </w:rPr>
        <w:t xml:space="preserve"> et</w:t>
      </w:r>
      <w:r w:rsidRPr="00AF13E1">
        <w:rPr>
          <w:rFonts w:asciiTheme="minorHAnsi" w:hAnsiTheme="minorHAnsi"/>
          <w:sz w:val="22"/>
        </w:rPr>
        <w:t xml:space="preserve"> l’occupation des sols</w:t>
      </w:r>
      <w:r>
        <w:rPr>
          <w:rFonts w:asciiTheme="minorHAnsi" w:hAnsiTheme="minorHAnsi"/>
          <w:sz w:val="22"/>
        </w:rPr>
        <w:t xml:space="preserve">. </w:t>
      </w:r>
    </w:p>
    <w:p w14:paraId="40825692" w14:textId="77777777" w:rsidR="00F709C4" w:rsidRPr="00F709C4" w:rsidRDefault="00F709C4" w:rsidP="00F709C4">
      <w:pPr>
        <w:jc w:val="both"/>
        <w:rPr>
          <w:rFonts w:asciiTheme="minorHAnsi" w:hAnsiTheme="minorHAnsi"/>
          <w:sz w:val="22"/>
          <w:szCs w:val="22"/>
        </w:rPr>
      </w:pPr>
      <w:r w:rsidRPr="00F709C4">
        <w:rPr>
          <w:rFonts w:asciiTheme="minorHAnsi" w:hAnsiTheme="minorHAnsi"/>
          <w:sz w:val="22"/>
          <w:szCs w:val="22"/>
        </w:rPr>
        <w:t>Suite à une décennie de catastrophes et pollutions importantes et sur la base des résultats de recherches scientifiques établies à la fin des années 90, des stratégies d’actions ont été développées. La mise en œuvre et le développement des actions, a été favorisé par la création d’outils d’accompagnement y compris financiers. A noter que ces outils ont évolué au cours des années 2000-2015, pour rendre les politiques plus efficaces ou pour s’adapter aux évolutions du contexte réglementaire.</w:t>
      </w:r>
    </w:p>
    <w:p w14:paraId="268AE6D4" w14:textId="77777777" w:rsidR="002E5A07" w:rsidRDefault="002E5A07" w:rsidP="002E5A07">
      <w:pPr>
        <w:rPr>
          <w:rFonts w:asciiTheme="minorHAnsi" w:hAnsiTheme="minorHAnsi"/>
          <w:b/>
          <w:bCs/>
        </w:rPr>
      </w:pPr>
    </w:p>
    <w:p w14:paraId="6945FFE8" w14:textId="13DA6A32" w:rsidR="00F709C4" w:rsidRDefault="002E5A07" w:rsidP="007C6EDD">
      <w:pPr>
        <w:ind w:left="497"/>
        <w:rPr>
          <w:rFonts w:asciiTheme="minorHAnsi" w:hAnsiTheme="minorHAnsi"/>
          <w:bCs/>
          <w:u w:val="single"/>
        </w:rPr>
      </w:pPr>
      <w:r>
        <w:rPr>
          <w:rFonts w:asciiTheme="minorHAnsi" w:hAnsiTheme="minorHAnsi"/>
          <w:bCs/>
          <w:u w:val="single"/>
        </w:rPr>
        <w:t>Objectifs</w:t>
      </w:r>
      <w:r w:rsidR="00F709C4">
        <w:rPr>
          <w:rFonts w:asciiTheme="minorHAnsi" w:hAnsiTheme="minorHAnsi"/>
          <w:bCs/>
          <w:u w:val="single"/>
        </w:rPr>
        <w:t xml:space="preserve"> </w:t>
      </w:r>
      <w:r w:rsidR="007C6EDD">
        <w:rPr>
          <w:rFonts w:asciiTheme="minorHAnsi" w:hAnsiTheme="minorHAnsi"/>
          <w:bCs/>
          <w:u w:val="single"/>
        </w:rPr>
        <w:t>et programme de travail</w:t>
      </w:r>
    </w:p>
    <w:p w14:paraId="563B800D" w14:textId="77777777" w:rsidR="003936E6" w:rsidRPr="007C6EDD" w:rsidRDefault="003936E6" w:rsidP="003936E6">
      <w:pPr>
        <w:rPr>
          <w:rFonts w:asciiTheme="minorHAnsi" w:hAnsiTheme="minorHAnsi"/>
          <w:bCs/>
          <w:color w:val="FF0000"/>
          <w:u w:val="single"/>
        </w:rPr>
      </w:pPr>
    </w:p>
    <w:p w14:paraId="2865363F" w14:textId="77777777" w:rsidR="00F709C4" w:rsidRDefault="00F709C4" w:rsidP="00F709C4">
      <w:pPr>
        <w:pStyle w:val="Corpsdetexte"/>
        <w:rPr>
          <w:rFonts w:asciiTheme="minorHAnsi" w:hAnsiTheme="minorHAnsi"/>
        </w:rPr>
      </w:pPr>
      <w:r w:rsidRPr="00AF13E1">
        <w:rPr>
          <w:rFonts w:asciiTheme="minorHAnsi" w:hAnsiTheme="minorHAnsi"/>
        </w:rPr>
        <w:t>Après plus de 15 années de développement d’actions préventives et correctives sur les bases établies en 2000, se pose la question de la poursuite à l’identique de ces actions : faut-il continuer exactement dans la même direction avec les mêmes objectifs et les mêmes financements ou y</w:t>
      </w:r>
      <w:r>
        <w:rPr>
          <w:rFonts w:asciiTheme="minorHAnsi" w:hAnsiTheme="minorHAnsi"/>
        </w:rPr>
        <w:t xml:space="preserve"> a</w:t>
      </w:r>
      <w:r w:rsidRPr="00AF13E1">
        <w:rPr>
          <w:rFonts w:asciiTheme="minorHAnsi" w:hAnsiTheme="minorHAnsi"/>
        </w:rPr>
        <w:t>-t-il lieu de réviser les politiques ?</w:t>
      </w:r>
    </w:p>
    <w:p w14:paraId="3D7764DD" w14:textId="07CE1EC2" w:rsidR="00F709C4" w:rsidRPr="009F180E" w:rsidRDefault="007C6EDD" w:rsidP="007C6EDD">
      <w:pPr>
        <w:rPr>
          <w:rFonts w:asciiTheme="minorHAnsi" w:hAnsiTheme="minorHAnsi"/>
          <w:bCs/>
          <w:sz w:val="22"/>
          <w:szCs w:val="22"/>
        </w:rPr>
      </w:pPr>
      <w:r w:rsidRPr="009F180E">
        <w:rPr>
          <w:rFonts w:asciiTheme="minorHAnsi" w:hAnsiTheme="minorHAnsi"/>
          <w:bCs/>
          <w:sz w:val="22"/>
          <w:szCs w:val="22"/>
        </w:rPr>
        <w:t>Pour répondre à cet objectif</w:t>
      </w:r>
      <w:r w:rsidR="009F180E">
        <w:rPr>
          <w:rFonts w:asciiTheme="minorHAnsi" w:hAnsiTheme="minorHAnsi"/>
          <w:bCs/>
          <w:sz w:val="22"/>
          <w:szCs w:val="22"/>
        </w:rPr>
        <w:t xml:space="preserve"> général</w:t>
      </w:r>
      <w:r w:rsidRPr="009F180E">
        <w:rPr>
          <w:rFonts w:asciiTheme="minorHAnsi" w:hAnsiTheme="minorHAnsi"/>
          <w:bCs/>
          <w:sz w:val="22"/>
          <w:szCs w:val="22"/>
        </w:rPr>
        <w:t>, le CDD devra répondre aux objectifs spécifiques suivants :</w:t>
      </w:r>
    </w:p>
    <w:p w14:paraId="7D611C87" w14:textId="77777777" w:rsidR="002E5A07" w:rsidRDefault="002E5A07" w:rsidP="002E5A07">
      <w:pPr>
        <w:pStyle w:val="Corpsdetexte"/>
        <w:numPr>
          <w:ilvl w:val="0"/>
          <w:numId w:val="11"/>
        </w:numPr>
        <w:rPr>
          <w:rFonts w:asciiTheme="minorHAnsi" w:hAnsiTheme="minorHAnsi"/>
        </w:rPr>
      </w:pPr>
      <w:r w:rsidRPr="002E5A07">
        <w:rPr>
          <w:rFonts w:asciiTheme="minorHAnsi" w:hAnsiTheme="minorHAnsi"/>
        </w:rPr>
        <w:t>Synthèse biblio sur lien karst et turbidité</w:t>
      </w:r>
    </w:p>
    <w:p w14:paraId="119063A7" w14:textId="77777777" w:rsidR="002E5A07" w:rsidRPr="002E5A07" w:rsidRDefault="002E5A07" w:rsidP="002E5A07">
      <w:pPr>
        <w:pStyle w:val="Corpsdetexte"/>
        <w:numPr>
          <w:ilvl w:val="0"/>
          <w:numId w:val="11"/>
        </w:numPr>
        <w:rPr>
          <w:rFonts w:asciiTheme="minorHAnsi" w:hAnsiTheme="minorHAnsi"/>
        </w:rPr>
      </w:pPr>
      <w:r w:rsidRPr="002E5A07">
        <w:rPr>
          <w:rFonts w:asciiTheme="minorHAnsi" w:hAnsiTheme="minorHAnsi"/>
        </w:rPr>
        <w:t xml:space="preserve">Enquêtes sur </w:t>
      </w:r>
      <w:r w:rsidR="00855635">
        <w:rPr>
          <w:rFonts w:asciiTheme="minorHAnsi" w:hAnsiTheme="minorHAnsi"/>
        </w:rPr>
        <w:t xml:space="preserve">les </w:t>
      </w:r>
      <w:r w:rsidRPr="002E5A07">
        <w:rPr>
          <w:rFonts w:asciiTheme="minorHAnsi" w:hAnsiTheme="minorHAnsi"/>
        </w:rPr>
        <w:t>coût</w:t>
      </w:r>
      <w:r w:rsidR="00855635">
        <w:rPr>
          <w:rFonts w:asciiTheme="minorHAnsi" w:hAnsiTheme="minorHAnsi"/>
        </w:rPr>
        <w:t>s</w:t>
      </w:r>
      <w:r w:rsidRPr="002E5A07">
        <w:rPr>
          <w:rFonts w:asciiTheme="minorHAnsi" w:hAnsiTheme="minorHAnsi"/>
        </w:rPr>
        <w:t xml:space="preserve"> d</w:t>
      </w:r>
      <w:r w:rsidR="00855635">
        <w:rPr>
          <w:rFonts w:asciiTheme="minorHAnsi" w:hAnsiTheme="minorHAnsi"/>
        </w:rPr>
        <w:t>e</w:t>
      </w:r>
      <w:r w:rsidRPr="002E5A07">
        <w:rPr>
          <w:rFonts w:asciiTheme="minorHAnsi" w:hAnsiTheme="minorHAnsi"/>
        </w:rPr>
        <w:t xml:space="preserve"> traitement </w:t>
      </w:r>
      <w:r w:rsidR="00855635">
        <w:rPr>
          <w:rFonts w:asciiTheme="minorHAnsi" w:hAnsiTheme="minorHAnsi"/>
        </w:rPr>
        <w:t>de l’eau potable</w:t>
      </w:r>
    </w:p>
    <w:p w14:paraId="6B4BB3D7" w14:textId="77777777" w:rsidR="002E5A07" w:rsidRPr="002E5A07" w:rsidRDefault="002E5A07" w:rsidP="002E5A07">
      <w:pPr>
        <w:pStyle w:val="Corpsdetexte"/>
        <w:numPr>
          <w:ilvl w:val="0"/>
          <w:numId w:val="11"/>
        </w:numPr>
        <w:rPr>
          <w:rFonts w:asciiTheme="minorHAnsi" w:hAnsiTheme="minorHAnsi"/>
        </w:rPr>
      </w:pPr>
      <w:r w:rsidRPr="002E5A07">
        <w:rPr>
          <w:rFonts w:asciiTheme="minorHAnsi" w:hAnsiTheme="minorHAnsi"/>
        </w:rPr>
        <w:t>Approfondir</w:t>
      </w:r>
      <w:r w:rsidR="00855635">
        <w:rPr>
          <w:rFonts w:asciiTheme="minorHAnsi" w:hAnsiTheme="minorHAnsi"/>
        </w:rPr>
        <w:t xml:space="preserve"> le</w:t>
      </w:r>
      <w:r w:rsidR="007470B3" w:rsidRPr="002E5A07">
        <w:rPr>
          <w:rFonts w:asciiTheme="minorHAnsi" w:hAnsiTheme="minorHAnsi"/>
        </w:rPr>
        <w:t xml:space="preserve"> lien pluie / ruissellement/ karst / captage par approche statistique</w:t>
      </w:r>
    </w:p>
    <w:p w14:paraId="523F2575" w14:textId="77777777" w:rsidR="002E5A07" w:rsidRPr="002E5A07" w:rsidRDefault="002E5A07" w:rsidP="002E5A07">
      <w:pPr>
        <w:pStyle w:val="Corpsdetexte"/>
        <w:numPr>
          <w:ilvl w:val="0"/>
          <w:numId w:val="11"/>
        </w:numPr>
        <w:rPr>
          <w:rFonts w:asciiTheme="minorHAnsi" w:hAnsiTheme="minorHAnsi"/>
        </w:rPr>
      </w:pPr>
      <w:r w:rsidRPr="002E5A07">
        <w:rPr>
          <w:rFonts w:asciiTheme="minorHAnsi" w:hAnsiTheme="minorHAnsi"/>
        </w:rPr>
        <w:t xml:space="preserve">Lien avec modélisation </w:t>
      </w:r>
      <w:proofErr w:type="spellStart"/>
      <w:r w:rsidRPr="002E5A07">
        <w:rPr>
          <w:rFonts w:asciiTheme="minorHAnsi" w:hAnsiTheme="minorHAnsi"/>
        </w:rPr>
        <w:t>Watersed</w:t>
      </w:r>
      <w:proofErr w:type="spellEnd"/>
    </w:p>
    <w:p w14:paraId="5B8CD823" w14:textId="77777777" w:rsidR="002E5A07" w:rsidRDefault="002E5A07" w:rsidP="002E5A07">
      <w:pPr>
        <w:rPr>
          <w:rFonts w:asciiTheme="minorHAnsi" w:hAnsiTheme="minorHAnsi"/>
          <w:b/>
          <w:bCs/>
        </w:rPr>
      </w:pPr>
    </w:p>
    <w:p w14:paraId="27B0EDF9" w14:textId="56F4566F" w:rsidR="00855635" w:rsidRPr="007C6EDD" w:rsidRDefault="00855635" w:rsidP="00855635">
      <w:pPr>
        <w:pStyle w:val="Corpsdetexte"/>
        <w:numPr>
          <w:ilvl w:val="0"/>
          <w:numId w:val="12"/>
        </w:numPr>
        <w:rPr>
          <w:rFonts w:asciiTheme="minorHAnsi" w:hAnsiTheme="minorHAnsi"/>
        </w:rPr>
      </w:pPr>
      <w:r w:rsidRPr="00855635">
        <w:rPr>
          <w:rFonts w:asciiTheme="minorHAnsi" w:hAnsiTheme="minorHAnsi"/>
        </w:rPr>
        <w:t>Synthèse bibliographique</w:t>
      </w:r>
    </w:p>
    <w:p w14:paraId="49A6294C" w14:textId="77777777" w:rsidR="000E760E" w:rsidRPr="00F709C4" w:rsidRDefault="00DA185D" w:rsidP="000E760E">
      <w:pPr>
        <w:widowControl w:val="0"/>
        <w:autoSpaceDE w:val="0"/>
        <w:autoSpaceDN w:val="0"/>
        <w:adjustRightInd w:val="0"/>
        <w:jc w:val="both"/>
        <w:rPr>
          <w:rFonts w:asciiTheme="minorHAnsi" w:eastAsiaTheme="minorHAnsi" w:hAnsiTheme="minorHAnsi"/>
          <w:sz w:val="22"/>
          <w:szCs w:val="22"/>
          <w:lang w:eastAsia="en-US"/>
        </w:rPr>
      </w:pPr>
      <w:r w:rsidRPr="00F709C4">
        <w:rPr>
          <w:rFonts w:asciiTheme="minorHAnsi" w:eastAsiaTheme="minorHAnsi" w:hAnsiTheme="minorHAnsi"/>
          <w:sz w:val="22"/>
          <w:szCs w:val="22"/>
          <w:lang w:eastAsia="en-US"/>
        </w:rPr>
        <w:t xml:space="preserve">En </w:t>
      </w:r>
      <w:r w:rsidR="000E760E" w:rsidRPr="00F709C4">
        <w:rPr>
          <w:rFonts w:asciiTheme="minorHAnsi" w:eastAsiaTheme="minorHAnsi" w:hAnsiTheme="minorHAnsi"/>
          <w:sz w:val="22"/>
          <w:szCs w:val="22"/>
          <w:lang w:eastAsia="en-US"/>
        </w:rPr>
        <w:t>Normandie</w:t>
      </w:r>
      <w:r w:rsidRPr="00F709C4">
        <w:rPr>
          <w:rFonts w:asciiTheme="minorHAnsi" w:eastAsiaTheme="minorHAnsi" w:hAnsiTheme="minorHAnsi"/>
          <w:sz w:val="22"/>
          <w:szCs w:val="22"/>
          <w:lang w:eastAsia="en-US"/>
        </w:rPr>
        <w:t xml:space="preserve"> crayeuse</w:t>
      </w:r>
      <w:r w:rsidR="000E760E" w:rsidRPr="00F709C4">
        <w:rPr>
          <w:rFonts w:asciiTheme="minorHAnsi" w:eastAsiaTheme="minorHAnsi" w:hAnsiTheme="minorHAnsi"/>
          <w:sz w:val="22"/>
          <w:szCs w:val="22"/>
          <w:lang w:eastAsia="en-US"/>
        </w:rPr>
        <w:t>,</w:t>
      </w:r>
      <w:r w:rsidRPr="00F709C4">
        <w:rPr>
          <w:rFonts w:asciiTheme="minorHAnsi" w:eastAsiaTheme="minorHAnsi" w:hAnsiTheme="minorHAnsi"/>
          <w:sz w:val="22"/>
          <w:szCs w:val="22"/>
          <w:lang w:eastAsia="en-US"/>
        </w:rPr>
        <w:t xml:space="preserve"> l’essentiel de la production en </w:t>
      </w:r>
      <w:r w:rsidR="000E760E" w:rsidRPr="00F709C4">
        <w:rPr>
          <w:rFonts w:asciiTheme="minorHAnsi" w:eastAsiaTheme="minorHAnsi" w:hAnsiTheme="minorHAnsi"/>
          <w:sz w:val="22"/>
          <w:szCs w:val="22"/>
          <w:lang w:eastAsia="en-US"/>
        </w:rPr>
        <w:t xml:space="preserve">eau potable repose sur l’exploitation des eaux souterraines de l’aquifère de la craie. Cependant, </w:t>
      </w:r>
      <w:r w:rsidRPr="00F709C4">
        <w:rPr>
          <w:rFonts w:asciiTheme="minorHAnsi" w:eastAsiaTheme="minorHAnsi" w:hAnsiTheme="minorHAnsi"/>
          <w:sz w:val="22"/>
          <w:szCs w:val="22"/>
          <w:lang w:eastAsia="en-US"/>
        </w:rPr>
        <w:t xml:space="preserve">cet aquifère crayeux est fracturé et </w:t>
      </w:r>
      <w:proofErr w:type="spellStart"/>
      <w:r w:rsidRPr="00F709C4">
        <w:rPr>
          <w:rFonts w:asciiTheme="minorHAnsi" w:eastAsiaTheme="minorHAnsi" w:hAnsiTheme="minorHAnsi"/>
          <w:sz w:val="22"/>
          <w:szCs w:val="22"/>
          <w:lang w:eastAsia="en-US"/>
        </w:rPr>
        <w:t>karstifié</w:t>
      </w:r>
      <w:proofErr w:type="spellEnd"/>
      <w:r w:rsidRPr="00F709C4">
        <w:rPr>
          <w:rFonts w:asciiTheme="minorHAnsi" w:eastAsiaTheme="minorHAnsi" w:hAnsiTheme="minorHAnsi"/>
          <w:sz w:val="22"/>
          <w:szCs w:val="22"/>
          <w:lang w:eastAsia="en-US"/>
        </w:rPr>
        <w:t>, avec des connexions en surface avec les eaux de ruissellement</w:t>
      </w:r>
      <w:r w:rsidR="006532CA" w:rsidRPr="00F709C4">
        <w:rPr>
          <w:rFonts w:asciiTheme="minorHAnsi" w:eastAsiaTheme="minorHAnsi" w:hAnsiTheme="minorHAnsi"/>
          <w:sz w:val="22"/>
          <w:szCs w:val="22"/>
          <w:lang w:eastAsia="en-US"/>
        </w:rPr>
        <w:t xml:space="preserve"> via les « bétoires » (zones d’e</w:t>
      </w:r>
      <w:r w:rsidRPr="00F709C4">
        <w:rPr>
          <w:rFonts w:asciiTheme="minorHAnsi" w:eastAsiaTheme="minorHAnsi" w:hAnsiTheme="minorHAnsi"/>
          <w:sz w:val="22"/>
          <w:szCs w:val="22"/>
          <w:lang w:eastAsia="en-US"/>
        </w:rPr>
        <w:t xml:space="preserve">ngouffrements karstiques), </w:t>
      </w:r>
      <w:r w:rsidR="006532CA" w:rsidRPr="00F709C4">
        <w:rPr>
          <w:rFonts w:asciiTheme="minorHAnsi" w:eastAsiaTheme="minorHAnsi" w:hAnsiTheme="minorHAnsi"/>
          <w:sz w:val="22"/>
          <w:szCs w:val="22"/>
          <w:lang w:eastAsia="en-US"/>
        </w:rPr>
        <w:t xml:space="preserve">provoquant des phénomènes turbides récurrents au niveau des captages, pouvant conduire à des crises sanitaires et à des arrêts des systèmes de distribution des eaux. </w:t>
      </w:r>
      <w:r w:rsidR="000E760E" w:rsidRPr="00F709C4">
        <w:rPr>
          <w:rFonts w:asciiTheme="minorHAnsi" w:eastAsiaTheme="minorHAnsi" w:hAnsiTheme="minorHAnsi"/>
          <w:sz w:val="22"/>
          <w:szCs w:val="22"/>
          <w:lang w:eastAsia="en-US"/>
        </w:rPr>
        <w:t>En effet, les connexions plus ou moins développées entre le karst d’introduction et le karst de restitution sont responsables de l’arrivée aux sources</w:t>
      </w:r>
      <w:r w:rsidR="006532CA" w:rsidRPr="00F709C4">
        <w:rPr>
          <w:rFonts w:asciiTheme="minorHAnsi" w:eastAsiaTheme="minorHAnsi" w:hAnsiTheme="minorHAnsi"/>
          <w:sz w:val="22"/>
          <w:szCs w:val="22"/>
          <w:lang w:eastAsia="en-US"/>
        </w:rPr>
        <w:t xml:space="preserve"> et aux captages</w:t>
      </w:r>
      <w:r w:rsidR="000E760E" w:rsidRPr="00F709C4">
        <w:rPr>
          <w:rFonts w:asciiTheme="minorHAnsi" w:eastAsiaTheme="minorHAnsi" w:hAnsiTheme="minorHAnsi"/>
          <w:sz w:val="22"/>
          <w:szCs w:val="22"/>
          <w:lang w:eastAsia="en-US"/>
        </w:rPr>
        <w:t>, d’eaux turbides en réponse à des épisodes pluvieux efficaces pour</w:t>
      </w:r>
      <w:r w:rsidR="006532CA" w:rsidRPr="00F709C4">
        <w:rPr>
          <w:rFonts w:asciiTheme="minorHAnsi" w:eastAsiaTheme="minorHAnsi" w:hAnsiTheme="minorHAnsi"/>
          <w:sz w:val="22"/>
          <w:szCs w:val="22"/>
          <w:lang w:eastAsia="en-US"/>
        </w:rPr>
        <w:t xml:space="preserve"> </w:t>
      </w:r>
      <w:r w:rsidR="000E760E" w:rsidRPr="00F709C4">
        <w:rPr>
          <w:rFonts w:asciiTheme="minorHAnsi" w:eastAsiaTheme="minorHAnsi" w:hAnsiTheme="minorHAnsi"/>
          <w:sz w:val="22"/>
          <w:szCs w:val="22"/>
          <w:lang w:eastAsia="en-US"/>
        </w:rPr>
        <w:t>provoquer ruissellement, érosion et introduction des eaux chargées en particules en suspension au niveau des points d’engouffrements.</w:t>
      </w:r>
    </w:p>
    <w:p w14:paraId="068B1929" w14:textId="77777777" w:rsidR="006532CA" w:rsidRPr="00F709C4" w:rsidRDefault="000E760E" w:rsidP="00855635">
      <w:pPr>
        <w:pStyle w:val="Corpsdetexte"/>
        <w:rPr>
          <w:rFonts w:asciiTheme="minorHAnsi" w:hAnsiTheme="minorHAnsi"/>
        </w:rPr>
      </w:pPr>
      <w:r w:rsidRPr="00F709C4">
        <w:rPr>
          <w:rFonts w:asciiTheme="minorHAnsi" w:hAnsiTheme="minorHAnsi"/>
        </w:rPr>
        <w:t>De nombreux travaux ont été menés par le laboratoire M2C sur le</w:t>
      </w:r>
      <w:r w:rsidR="006532CA" w:rsidRPr="00F709C4">
        <w:rPr>
          <w:rFonts w:asciiTheme="minorHAnsi" w:hAnsiTheme="minorHAnsi"/>
        </w:rPr>
        <w:t xml:space="preserve"> fonctionnement hydrologique du</w:t>
      </w:r>
      <w:r w:rsidRPr="00F709C4">
        <w:rPr>
          <w:rFonts w:asciiTheme="minorHAnsi" w:hAnsiTheme="minorHAnsi"/>
        </w:rPr>
        <w:t xml:space="preserve"> karst crayeux et sur la turbidité de l’eau associée sur différents sites normands (</w:t>
      </w:r>
      <w:proofErr w:type="spellStart"/>
      <w:r w:rsidRPr="00F709C4">
        <w:rPr>
          <w:rFonts w:asciiTheme="minorHAnsi" w:hAnsiTheme="minorHAnsi"/>
        </w:rPr>
        <w:t>Radicatel</w:t>
      </w:r>
      <w:proofErr w:type="spellEnd"/>
      <w:r w:rsidRPr="00F709C4">
        <w:rPr>
          <w:rFonts w:asciiTheme="minorHAnsi" w:hAnsiTheme="minorHAnsi"/>
        </w:rPr>
        <w:t xml:space="preserve">, Fontaine sous Préaux, Yport, </w:t>
      </w:r>
      <w:proofErr w:type="spellStart"/>
      <w:r w:rsidRPr="00F709C4">
        <w:rPr>
          <w:rFonts w:asciiTheme="minorHAnsi" w:hAnsiTheme="minorHAnsi"/>
        </w:rPr>
        <w:t>Norville</w:t>
      </w:r>
      <w:proofErr w:type="spellEnd"/>
      <w:r w:rsidRPr="00F709C4">
        <w:rPr>
          <w:rFonts w:asciiTheme="minorHAnsi" w:hAnsiTheme="minorHAnsi"/>
        </w:rPr>
        <w:t>,</w:t>
      </w:r>
      <w:r w:rsidR="006532CA" w:rsidRPr="00F709C4">
        <w:rPr>
          <w:rFonts w:asciiTheme="minorHAnsi" w:hAnsiTheme="minorHAnsi"/>
        </w:rPr>
        <w:t xml:space="preserve"> </w:t>
      </w:r>
      <w:r w:rsidRPr="00F709C4">
        <w:rPr>
          <w:rFonts w:asciiTheme="minorHAnsi" w:hAnsiTheme="minorHAnsi"/>
        </w:rPr>
        <w:t xml:space="preserve">…). </w:t>
      </w:r>
    </w:p>
    <w:p w14:paraId="2150F77D" w14:textId="4F97EBAD" w:rsidR="000E760E" w:rsidRPr="007C6EDD" w:rsidRDefault="000E760E" w:rsidP="00855635">
      <w:pPr>
        <w:pStyle w:val="Corpsdetexte"/>
        <w:rPr>
          <w:rFonts w:asciiTheme="minorHAnsi" w:hAnsiTheme="minorHAnsi"/>
        </w:rPr>
      </w:pPr>
      <w:r w:rsidRPr="00F709C4">
        <w:rPr>
          <w:rFonts w:asciiTheme="minorHAnsi" w:hAnsiTheme="minorHAnsi"/>
        </w:rPr>
        <w:t>Il s’agira donc de faire une synthèse de ces différents travaux pour mieux comprendre le fonctionnement karstique régionale et les relations entre le ruissellement de surface et la turbidité des eaux souterraines et éventuellement extraire des règles</w:t>
      </w:r>
      <w:r w:rsidR="006532CA" w:rsidRPr="00F709C4">
        <w:rPr>
          <w:rFonts w:asciiTheme="minorHAnsi" w:hAnsiTheme="minorHAnsi"/>
        </w:rPr>
        <w:t xml:space="preserve"> régionales sur les relat</w:t>
      </w:r>
      <w:r w:rsidR="002D3856" w:rsidRPr="00F709C4">
        <w:rPr>
          <w:rFonts w:asciiTheme="minorHAnsi" w:hAnsiTheme="minorHAnsi"/>
        </w:rPr>
        <w:t>ions pluie/ruissellement érosif</w:t>
      </w:r>
      <w:r w:rsidR="006532CA" w:rsidRPr="00F709C4">
        <w:rPr>
          <w:rFonts w:asciiTheme="minorHAnsi" w:hAnsiTheme="minorHAnsi"/>
        </w:rPr>
        <w:t xml:space="preserve">/turbidité des eaux de surfaces et </w:t>
      </w:r>
      <w:r w:rsidR="006532CA" w:rsidRPr="007C6EDD">
        <w:rPr>
          <w:rFonts w:asciiTheme="minorHAnsi" w:hAnsiTheme="minorHAnsi"/>
        </w:rPr>
        <w:t>souterraines.</w:t>
      </w:r>
      <w:r w:rsidR="00F709C4" w:rsidRPr="007C6EDD">
        <w:rPr>
          <w:rFonts w:asciiTheme="minorHAnsi" w:hAnsiTheme="minorHAnsi"/>
        </w:rPr>
        <w:t xml:space="preserve"> </w:t>
      </w:r>
      <w:r w:rsidR="007C6EDD" w:rsidRPr="007C6EDD">
        <w:rPr>
          <w:rFonts w:asciiTheme="minorHAnsi" w:hAnsiTheme="minorHAnsi"/>
        </w:rPr>
        <w:t>L’originalité de cette synthèse devrait donner lieu à une publication scientifique.</w:t>
      </w:r>
    </w:p>
    <w:p w14:paraId="3A3335BA" w14:textId="77777777" w:rsidR="000E760E" w:rsidRPr="00855635" w:rsidRDefault="000E760E" w:rsidP="00855635">
      <w:pPr>
        <w:pStyle w:val="Corpsdetexte"/>
        <w:rPr>
          <w:rFonts w:asciiTheme="minorHAnsi" w:hAnsiTheme="minorHAnsi"/>
        </w:rPr>
      </w:pPr>
    </w:p>
    <w:p w14:paraId="0CBF61D5" w14:textId="4B828419" w:rsidR="00855635" w:rsidRPr="007C6EDD" w:rsidRDefault="00855635" w:rsidP="00855635">
      <w:pPr>
        <w:pStyle w:val="Corpsdetexte"/>
        <w:numPr>
          <w:ilvl w:val="0"/>
          <w:numId w:val="12"/>
        </w:numPr>
        <w:rPr>
          <w:rFonts w:asciiTheme="minorHAnsi" w:hAnsiTheme="minorHAnsi"/>
        </w:rPr>
      </w:pPr>
      <w:r w:rsidRPr="002E5A07">
        <w:rPr>
          <w:rFonts w:asciiTheme="minorHAnsi" w:hAnsiTheme="minorHAnsi"/>
        </w:rPr>
        <w:t xml:space="preserve">Enquêtes sur </w:t>
      </w:r>
      <w:r>
        <w:rPr>
          <w:rFonts w:asciiTheme="minorHAnsi" w:hAnsiTheme="minorHAnsi"/>
        </w:rPr>
        <w:t xml:space="preserve">les </w:t>
      </w:r>
      <w:r w:rsidRPr="002E5A07">
        <w:rPr>
          <w:rFonts w:asciiTheme="minorHAnsi" w:hAnsiTheme="minorHAnsi"/>
        </w:rPr>
        <w:t>coût</w:t>
      </w:r>
      <w:r>
        <w:rPr>
          <w:rFonts w:asciiTheme="minorHAnsi" w:hAnsiTheme="minorHAnsi"/>
        </w:rPr>
        <w:t>s</w:t>
      </w:r>
      <w:r w:rsidRPr="002E5A07">
        <w:rPr>
          <w:rFonts w:asciiTheme="minorHAnsi" w:hAnsiTheme="minorHAnsi"/>
        </w:rPr>
        <w:t xml:space="preserve"> d</w:t>
      </w:r>
      <w:r>
        <w:rPr>
          <w:rFonts w:asciiTheme="minorHAnsi" w:hAnsiTheme="minorHAnsi"/>
        </w:rPr>
        <w:t>e</w:t>
      </w:r>
      <w:r w:rsidRPr="002E5A07">
        <w:rPr>
          <w:rFonts w:asciiTheme="minorHAnsi" w:hAnsiTheme="minorHAnsi"/>
        </w:rPr>
        <w:t xml:space="preserve"> traitement </w:t>
      </w:r>
      <w:r>
        <w:rPr>
          <w:rFonts w:asciiTheme="minorHAnsi" w:hAnsiTheme="minorHAnsi"/>
        </w:rPr>
        <w:t>de l’eau potable</w:t>
      </w:r>
    </w:p>
    <w:p w14:paraId="348C8ECA" w14:textId="77777777" w:rsidR="00F709C4" w:rsidRPr="00855635" w:rsidRDefault="00F709C4" w:rsidP="00F709C4">
      <w:pPr>
        <w:pStyle w:val="Corpsdetexte"/>
        <w:rPr>
          <w:rFonts w:asciiTheme="minorHAnsi" w:hAnsiTheme="minorHAnsi"/>
        </w:rPr>
      </w:pPr>
      <w:r>
        <w:rPr>
          <w:rFonts w:asciiTheme="minorHAnsi" w:hAnsiTheme="minorHAnsi"/>
        </w:rPr>
        <w:t>Les phénomènes de turbidité impactent le fonctionnement des services d’eau potable dès lors que les nomes de potabilité ou de potabilisation sont dépassées. La récurrence de ces phénomènes a conduit les collectivités à installer des stations de traitement de la turbidité, réaliser des interconnexions et dans certains cas à l’abandon de captages. Le travail proposé consistera à réaliser un recensement des investissements rendus nécessaires par la turbidité sur les 15 dernières années, en s’appuyant sur une analyse des données de l’agence de l’eau (base de données « interventions ») et sur des entretiens avec les principales collectivités du département de Seine Maritime. Les entretiens avec les collectivités et les entreprises délégataires viseront également à évaluer les coûts de fonctionnement liés la turbidité. L’analyse mettra en évidence la diversité des stratégies adoptées par les opérateurs des services pour faire face à cette contrainte. Les différences géographiques de coût seront interprétées, en mettant en, relation les facteurs explicatifs naturels et les choix techniques des opérateurs.</w:t>
      </w:r>
    </w:p>
    <w:p w14:paraId="2E84B7D1" w14:textId="77777777" w:rsidR="00F709C4" w:rsidRPr="002E5A07" w:rsidRDefault="00F709C4" w:rsidP="00855635">
      <w:pPr>
        <w:pStyle w:val="Corpsdetexte"/>
        <w:rPr>
          <w:rFonts w:asciiTheme="minorHAnsi" w:hAnsiTheme="minorHAnsi"/>
        </w:rPr>
      </w:pPr>
    </w:p>
    <w:p w14:paraId="2518E513" w14:textId="5799D3C0" w:rsidR="00855635" w:rsidRDefault="00855635" w:rsidP="00855635">
      <w:pPr>
        <w:pStyle w:val="Corpsdetexte"/>
        <w:numPr>
          <w:ilvl w:val="0"/>
          <w:numId w:val="12"/>
        </w:numPr>
        <w:rPr>
          <w:rFonts w:asciiTheme="minorHAnsi" w:hAnsiTheme="minorHAnsi"/>
        </w:rPr>
      </w:pPr>
      <w:r w:rsidRPr="002E5A07">
        <w:rPr>
          <w:rFonts w:asciiTheme="minorHAnsi" w:hAnsiTheme="minorHAnsi"/>
        </w:rPr>
        <w:t>Approfondir</w:t>
      </w:r>
      <w:r>
        <w:rPr>
          <w:rFonts w:asciiTheme="minorHAnsi" w:hAnsiTheme="minorHAnsi"/>
        </w:rPr>
        <w:t xml:space="preserve"> le</w:t>
      </w:r>
      <w:r w:rsidRPr="002E5A07">
        <w:rPr>
          <w:rFonts w:asciiTheme="minorHAnsi" w:hAnsiTheme="minorHAnsi"/>
        </w:rPr>
        <w:t xml:space="preserve"> lien pluie / ruissellement/ karst / captage par approche statistique</w:t>
      </w:r>
    </w:p>
    <w:p w14:paraId="1BE3BB61" w14:textId="67BE2B06" w:rsidR="000E760E" w:rsidRPr="00F709C4" w:rsidRDefault="006532CA" w:rsidP="00855635">
      <w:pPr>
        <w:pStyle w:val="Corpsdetexte"/>
        <w:rPr>
          <w:rFonts w:asciiTheme="minorHAnsi" w:hAnsiTheme="minorHAnsi"/>
        </w:rPr>
      </w:pPr>
      <w:r w:rsidRPr="00F709C4">
        <w:rPr>
          <w:rFonts w:asciiTheme="minorHAnsi" w:hAnsiTheme="minorHAnsi"/>
        </w:rPr>
        <w:t>Le travail proposé consistera à confronter les chroniques de pluie et de turbidité des eaux de surfaces et souterraines à partir d’analyse</w:t>
      </w:r>
      <w:r w:rsidR="002D3856" w:rsidRPr="00F709C4">
        <w:rPr>
          <w:rFonts w:asciiTheme="minorHAnsi" w:hAnsiTheme="minorHAnsi"/>
        </w:rPr>
        <w:t>s</w:t>
      </w:r>
      <w:r w:rsidRPr="00F709C4">
        <w:rPr>
          <w:rFonts w:asciiTheme="minorHAnsi" w:hAnsiTheme="minorHAnsi"/>
        </w:rPr>
        <w:t xml:space="preserve"> statistique</w:t>
      </w:r>
      <w:r w:rsidR="002D3856" w:rsidRPr="00F709C4">
        <w:rPr>
          <w:rFonts w:asciiTheme="minorHAnsi" w:hAnsiTheme="minorHAnsi"/>
        </w:rPr>
        <w:t>s</w:t>
      </w:r>
      <w:r w:rsidRPr="00F709C4">
        <w:rPr>
          <w:rFonts w:asciiTheme="minorHAnsi" w:hAnsiTheme="minorHAnsi"/>
        </w:rPr>
        <w:t xml:space="preserve"> et de méthodes de traitement du signal</w:t>
      </w:r>
      <w:r w:rsidR="0012221A" w:rsidRPr="00F709C4">
        <w:rPr>
          <w:rFonts w:asciiTheme="minorHAnsi" w:hAnsiTheme="minorHAnsi"/>
        </w:rPr>
        <w:t xml:space="preserve">, afin de définir les seuils de </w:t>
      </w:r>
      <w:r w:rsidR="0012221A" w:rsidRPr="00F709C4">
        <w:rPr>
          <w:rFonts w:asciiTheme="minorHAnsi" w:hAnsiTheme="minorHAnsi"/>
        </w:rPr>
        <w:lastRenderedPageBreak/>
        <w:t>précipitations conduisant à la turbidité des eaux souterraines et mieux comprendre la réactivité du karst à la pluie (effet mémoire d’un événement, temps de réponse à une impulsion de pluie…)</w:t>
      </w:r>
    </w:p>
    <w:p w14:paraId="0A3C63E2" w14:textId="3597DFB8" w:rsidR="000E760E" w:rsidRPr="00F709C4" w:rsidRDefault="0012221A" w:rsidP="00855635">
      <w:pPr>
        <w:pStyle w:val="Corpsdetexte"/>
        <w:rPr>
          <w:rFonts w:asciiTheme="minorHAnsi" w:hAnsiTheme="minorHAnsi"/>
        </w:rPr>
      </w:pPr>
      <w:r w:rsidRPr="00F709C4">
        <w:rPr>
          <w:rFonts w:asciiTheme="minorHAnsi" w:hAnsiTheme="minorHAnsi"/>
        </w:rPr>
        <w:t xml:space="preserve">Nous nous appuierons notamment sur la longue chronique de turbidité de </w:t>
      </w:r>
      <w:proofErr w:type="spellStart"/>
      <w:r w:rsidRPr="00F709C4">
        <w:rPr>
          <w:rFonts w:asciiTheme="minorHAnsi" w:hAnsiTheme="minorHAnsi"/>
        </w:rPr>
        <w:t>Radicatel</w:t>
      </w:r>
      <w:proofErr w:type="spellEnd"/>
      <w:r w:rsidRPr="00F709C4">
        <w:rPr>
          <w:rFonts w:asciiTheme="minorHAnsi" w:hAnsiTheme="minorHAnsi"/>
        </w:rPr>
        <w:t xml:space="preserve"> (22 ans) qui permettra de suivre l’évolution temporelle de la turbidité des eaux </w:t>
      </w:r>
      <w:r w:rsidR="002D3856" w:rsidRPr="00F709C4">
        <w:rPr>
          <w:rFonts w:asciiTheme="minorHAnsi" w:hAnsiTheme="minorHAnsi"/>
        </w:rPr>
        <w:t xml:space="preserve">souterraines </w:t>
      </w:r>
      <w:r w:rsidRPr="00F709C4">
        <w:rPr>
          <w:rFonts w:asciiTheme="minorHAnsi" w:hAnsiTheme="minorHAnsi"/>
        </w:rPr>
        <w:t xml:space="preserve">en lien avec l’évolution des événements pluvieux, mais également l’occupation du sol et les aménagements qui ont été réalisés sur le bassin d’alimentation des sources de </w:t>
      </w:r>
      <w:proofErr w:type="spellStart"/>
      <w:r w:rsidRPr="00F709C4">
        <w:rPr>
          <w:rFonts w:asciiTheme="minorHAnsi" w:hAnsiTheme="minorHAnsi"/>
        </w:rPr>
        <w:t>Radicatel</w:t>
      </w:r>
      <w:proofErr w:type="spellEnd"/>
      <w:r w:rsidRPr="00F709C4">
        <w:rPr>
          <w:rFonts w:asciiTheme="minorHAnsi" w:hAnsiTheme="minorHAnsi"/>
        </w:rPr>
        <w:t>.</w:t>
      </w:r>
    </w:p>
    <w:p w14:paraId="49D0783E" w14:textId="77777777" w:rsidR="000E760E" w:rsidRPr="002E5A07" w:rsidRDefault="000E760E" w:rsidP="00855635">
      <w:pPr>
        <w:pStyle w:val="Corpsdetexte"/>
        <w:rPr>
          <w:rFonts w:asciiTheme="minorHAnsi" w:hAnsiTheme="minorHAnsi"/>
        </w:rPr>
      </w:pPr>
    </w:p>
    <w:p w14:paraId="64F33A49" w14:textId="083A414E" w:rsidR="00855635" w:rsidRPr="007C6EDD" w:rsidRDefault="00855635" w:rsidP="00855635">
      <w:pPr>
        <w:pStyle w:val="Corpsdetexte"/>
        <w:numPr>
          <w:ilvl w:val="0"/>
          <w:numId w:val="12"/>
        </w:numPr>
        <w:rPr>
          <w:rFonts w:asciiTheme="minorHAnsi" w:hAnsiTheme="minorHAnsi"/>
        </w:rPr>
      </w:pPr>
      <w:r w:rsidRPr="002E5A07">
        <w:rPr>
          <w:rFonts w:asciiTheme="minorHAnsi" w:hAnsiTheme="minorHAnsi"/>
        </w:rPr>
        <w:t xml:space="preserve">Lien avec modélisation </w:t>
      </w:r>
      <w:r>
        <w:rPr>
          <w:rFonts w:asciiTheme="minorHAnsi" w:hAnsiTheme="minorHAnsi"/>
        </w:rPr>
        <w:t>de surface (</w:t>
      </w:r>
      <w:proofErr w:type="spellStart"/>
      <w:r w:rsidRPr="002E5A07">
        <w:rPr>
          <w:rFonts w:asciiTheme="minorHAnsi" w:hAnsiTheme="minorHAnsi"/>
        </w:rPr>
        <w:t>Watersed</w:t>
      </w:r>
      <w:proofErr w:type="spellEnd"/>
      <w:r>
        <w:rPr>
          <w:rFonts w:asciiTheme="minorHAnsi" w:hAnsiTheme="minorHAnsi"/>
        </w:rPr>
        <w:t>)</w:t>
      </w:r>
    </w:p>
    <w:p w14:paraId="6B6EA665" w14:textId="77777777" w:rsidR="00F709C4" w:rsidRPr="004E6358" w:rsidRDefault="00F709C4" w:rsidP="00F709C4">
      <w:pPr>
        <w:widowControl w:val="0"/>
        <w:autoSpaceDE w:val="0"/>
        <w:autoSpaceDN w:val="0"/>
        <w:adjustRightInd w:val="0"/>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Des bassins versants tests seront sélectionnés</w:t>
      </w:r>
      <w:r w:rsidRPr="004E6358">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 xml:space="preserve">Le choix se portera sur des bassins qui ont connu des </w:t>
      </w:r>
      <w:r w:rsidRPr="004E6358">
        <w:rPr>
          <w:rFonts w:asciiTheme="minorHAnsi" w:eastAsiaTheme="minorHAnsi" w:hAnsiTheme="minorHAnsi"/>
          <w:sz w:val="22"/>
          <w:szCs w:val="22"/>
          <w:lang w:eastAsia="en-US"/>
        </w:rPr>
        <w:t>inondations répétées dans les années 1990</w:t>
      </w:r>
      <w:r>
        <w:rPr>
          <w:rFonts w:asciiTheme="minorHAnsi" w:eastAsiaTheme="minorHAnsi" w:hAnsiTheme="minorHAnsi"/>
          <w:sz w:val="22"/>
          <w:szCs w:val="22"/>
          <w:lang w:eastAsia="en-US"/>
        </w:rPr>
        <w:t xml:space="preserve"> -2000 et ou ont </w:t>
      </w:r>
      <w:r w:rsidRPr="0078648E">
        <w:rPr>
          <w:rFonts w:asciiTheme="minorHAnsi" w:eastAsiaTheme="minorHAnsi" w:hAnsiTheme="minorHAnsi"/>
          <w:sz w:val="22"/>
          <w:szCs w:val="22"/>
          <w:lang w:eastAsia="en-US"/>
        </w:rPr>
        <w:t xml:space="preserve">été installés </w:t>
      </w:r>
      <w:r w:rsidRPr="004E6358">
        <w:rPr>
          <w:rFonts w:asciiTheme="minorHAnsi" w:eastAsiaTheme="minorHAnsi" w:hAnsiTheme="minorHAnsi"/>
          <w:sz w:val="22"/>
          <w:szCs w:val="22"/>
          <w:lang w:eastAsia="en-US"/>
        </w:rPr>
        <w:t xml:space="preserve">des ouvrages et aménagements d’hydrauliques douces </w:t>
      </w:r>
      <w:r w:rsidRPr="008E4DAF">
        <w:rPr>
          <w:rFonts w:asciiTheme="minorHAnsi" w:eastAsiaTheme="minorHAnsi" w:hAnsiTheme="minorHAnsi"/>
          <w:sz w:val="22"/>
          <w:szCs w:val="22"/>
          <w:lang w:eastAsia="en-US"/>
        </w:rPr>
        <w:t>entre 1998 et 2015.</w:t>
      </w:r>
      <w:r w:rsidRPr="004E6358">
        <w:rPr>
          <w:rFonts w:asciiTheme="minorHAnsi" w:eastAsiaTheme="minorHAnsi" w:hAnsiTheme="minorHAnsi"/>
          <w:sz w:val="22"/>
          <w:szCs w:val="22"/>
          <w:lang w:eastAsia="en-US"/>
        </w:rPr>
        <w:t xml:space="preserve"> L’objectif de ce</w:t>
      </w:r>
      <w:r>
        <w:rPr>
          <w:rFonts w:asciiTheme="minorHAnsi" w:eastAsiaTheme="minorHAnsi" w:hAnsiTheme="minorHAnsi"/>
          <w:sz w:val="22"/>
          <w:szCs w:val="22"/>
          <w:lang w:eastAsia="en-US"/>
        </w:rPr>
        <w:t>tte partie</w:t>
      </w:r>
      <w:r w:rsidRPr="004E6358">
        <w:rPr>
          <w:rFonts w:asciiTheme="minorHAnsi" w:eastAsiaTheme="minorHAnsi" w:hAnsiTheme="minorHAnsi"/>
          <w:sz w:val="22"/>
          <w:szCs w:val="22"/>
          <w:lang w:eastAsia="en-US"/>
        </w:rPr>
        <w:t xml:space="preserve"> est d’évaluer l’efficacité du schéma d’aménagement déployé dans la réduction annuelle et évènementielle de l’érosion et du ruissellement à l’échelle locale et à l’échelle globale. Pour se faire, l’érosion et le ruissellement sont modélisés ave</w:t>
      </w:r>
      <w:r w:rsidRPr="008E4DAF">
        <w:rPr>
          <w:rFonts w:asciiTheme="minorHAnsi" w:eastAsiaTheme="minorHAnsi" w:hAnsiTheme="minorHAnsi"/>
          <w:sz w:val="22"/>
          <w:szCs w:val="22"/>
          <w:lang w:eastAsia="en-US"/>
        </w:rPr>
        <w:t>c et sans aménagements pour les</w:t>
      </w:r>
      <w:r w:rsidRPr="004E6358">
        <w:rPr>
          <w:rFonts w:asciiTheme="minorHAnsi" w:eastAsiaTheme="minorHAnsi" w:hAnsiTheme="minorHAnsi"/>
          <w:sz w:val="22"/>
          <w:szCs w:val="22"/>
          <w:lang w:eastAsia="en-US"/>
        </w:rPr>
        <w:t xml:space="preserve"> évènements de pluies intervenus sur la période. </w:t>
      </w:r>
      <w:r>
        <w:rPr>
          <w:rFonts w:asciiTheme="minorHAnsi" w:eastAsiaTheme="minorHAnsi" w:hAnsiTheme="minorHAnsi"/>
          <w:sz w:val="22"/>
          <w:szCs w:val="22"/>
          <w:lang w:eastAsia="en-US"/>
        </w:rPr>
        <w:t xml:space="preserve">Les résultats des simulations permettront de comparer les désordres survenus en surface avec ceux intervenus au niveau des points de captage d’eau potable afin d’établir un lien entre l’aménagement du paysage et les transferts vers les eaux souterraines. </w:t>
      </w:r>
      <w:r w:rsidRPr="004E6358">
        <w:rPr>
          <w:rFonts w:asciiTheme="minorHAnsi" w:eastAsiaTheme="minorHAnsi" w:hAnsiTheme="minorHAnsi"/>
          <w:sz w:val="22"/>
          <w:szCs w:val="22"/>
          <w:lang w:eastAsia="en-US"/>
        </w:rPr>
        <w:t>Les simulations sont réalisées à l’aide du modèle</w:t>
      </w:r>
      <w:r>
        <w:rPr>
          <w:rFonts w:asciiTheme="minorHAnsi" w:eastAsiaTheme="minorHAnsi" w:hAnsiTheme="minorHAnsi"/>
          <w:sz w:val="22"/>
          <w:szCs w:val="22"/>
          <w:lang w:eastAsia="en-US"/>
        </w:rPr>
        <w:t xml:space="preserve"> d’érosion</w:t>
      </w:r>
      <w:r w:rsidRPr="008E4DAF">
        <w:rPr>
          <w:rFonts w:asciiTheme="minorHAnsi" w:eastAsiaTheme="minorHAnsi" w:hAnsiTheme="minorHAnsi"/>
          <w:sz w:val="22"/>
          <w:szCs w:val="22"/>
          <w:lang w:eastAsia="en-US"/>
        </w:rPr>
        <w:t xml:space="preserve"> WATERSED</w:t>
      </w:r>
      <w:r w:rsidRPr="004E6358">
        <w:rPr>
          <w:rFonts w:asciiTheme="minorHAnsi" w:eastAsiaTheme="minorHAnsi" w:hAnsiTheme="minorHAnsi"/>
          <w:sz w:val="22"/>
          <w:szCs w:val="22"/>
          <w:lang w:eastAsia="en-US"/>
        </w:rPr>
        <w:t>.</w:t>
      </w:r>
      <w:r>
        <w:rPr>
          <w:rFonts w:asciiTheme="minorHAnsi" w:eastAsiaTheme="minorHAnsi" w:hAnsiTheme="minorHAnsi"/>
          <w:sz w:val="22"/>
          <w:szCs w:val="22"/>
          <w:lang w:eastAsia="en-US"/>
        </w:rPr>
        <w:t xml:space="preserve"> Différents scénarios d’aménagement futurs pourront également être testés.</w:t>
      </w:r>
    </w:p>
    <w:p w14:paraId="608C580A" w14:textId="77777777" w:rsidR="007C6EDD" w:rsidRPr="002E5A07" w:rsidRDefault="007C6EDD" w:rsidP="002E5A07">
      <w:pPr>
        <w:rPr>
          <w:rFonts w:asciiTheme="minorHAnsi" w:hAnsiTheme="minorHAnsi"/>
          <w:b/>
          <w:bCs/>
        </w:rPr>
      </w:pPr>
    </w:p>
    <w:p w14:paraId="54D7CC4F" w14:textId="3A7CCB34" w:rsidR="002E5A07" w:rsidRPr="002E5A07" w:rsidRDefault="002E5A07" w:rsidP="002E5A07">
      <w:pPr>
        <w:rPr>
          <w:rFonts w:asciiTheme="minorHAnsi" w:hAnsiTheme="minorHAnsi"/>
          <w:b/>
          <w:bCs/>
        </w:rPr>
      </w:pPr>
      <w:r w:rsidRPr="002E5A07">
        <w:rPr>
          <w:rFonts w:asciiTheme="minorHAnsi" w:hAnsiTheme="minorHAnsi"/>
          <w:b/>
          <w:bCs/>
        </w:rPr>
        <w:t>Profil du candidat recherché</w:t>
      </w:r>
      <w:r w:rsidR="007C6EDD">
        <w:rPr>
          <w:rFonts w:asciiTheme="minorHAnsi" w:hAnsiTheme="minorHAnsi"/>
          <w:b/>
          <w:bCs/>
        </w:rPr>
        <w:t xml:space="preserve"> et mission</w:t>
      </w:r>
    </w:p>
    <w:p w14:paraId="3EE97D48" w14:textId="77777777" w:rsidR="00F709C4" w:rsidRDefault="00F709C4" w:rsidP="002E5A07">
      <w:pPr>
        <w:rPr>
          <w:rFonts w:asciiTheme="minorHAnsi" w:hAnsiTheme="minorHAnsi"/>
        </w:rPr>
      </w:pPr>
    </w:p>
    <w:p w14:paraId="3424F618" w14:textId="77777777" w:rsidR="00F709C4" w:rsidRPr="004E6358" w:rsidRDefault="00F709C4" w:rsidP="00F709C4">
      <w:pPr>
        <w:pStyle w:val="Normalweb"/>
        <w:numPr>
          <w:ilvl w:val="0"/>
          <w:numId w:val="13"/>
        </w:numPr>
        <w:spacing w:before="0" w:beforeAutospacing="0" w:after="0" w:afterAutospacing="0"/>
        <w:ind w:right="71"/>
        <w:contextualSpacing/>
        <w:jc w:val="both"/>
        <w:rPr>
          <w:rFonts w:asciiTheme="minorHAnsi" w:hAnsiTheme="minorHAnsi" w:cstheme="minorHAnsi"/>
          <w:sz w:val="22"/>
          <w:szCs w:val="22"/>
        </w:rPr>
      </w:pPr>
      <w:r>
        <w:rPr>
          <w:rFonts w:asciiTheme="minorHAnsi" w:hAnsiTheme="minorHAnsi" w:cstheme="minorHAnsi"/>
          <w:sz w:val="22"/>
          <w:szCs w:val="22"/>
        </w:rPr>
        <w:t>C</w:t>
      </w:r>
      <w:r w:rsidRPr="004E6358">
        <w:rPr>
          <w:rFonts w:asciiTheme="minorHAnsi" w:hAnsiTheme="minorHAnsi" w:cstheme="minorHAnsi"/>
          <w:sz w:val="22"/>
          <w:szCs w:val="22"/>
        </w:rPr>
        <w:t>ompétences dans l’évaluation de la vulnérabilité des territoires face aux risques hydro-gravitaires,</w:t>
      </w:r>
      <w:r>
        <w:rPr>
          <w:rFonts w:asciiTheme="minorHAnsi" w:hAnsiTheme="minorHAnsi" w:cstheme="minorHAnsi"/>
          <w:sz w:val="22"/>
          <w:szCs w:val="22"/>
        </w:rPr>
        <w:t xml:space="preserve"> que ce soit sous l’angle de l’hydrogéologie, de la géomorphologie ou des sciences du sol</w:t>
      </w:r>
    </w:p>
    <w:p w14:paraId="0901CE8A" w14:textId="77777777" w:rsidR="00F709C4" w:rsidRPr="004E6358" w:rsidRDefault="00F709C4" w:rsidP="00F709C4">
      <w:pPr>
        <w:pStyle w:val="Normalweb"/>
        <w:numPr>
          <w:ilvl w:val="0"/>
          <w:numId w:val="13"/>
        </w:numPr>
        <w:spacing w:before="0" w:beforeAutospacing="0" w:after="0" w:afterAutospacing="0"/>
        <w:ind w:right="-567"/>
        <w:contextualSpacing/>
        <w:jc w:val="both"/>
        <w:rPr>
          <w:rFonts w:asciiTheme="minorHAnsi" w:hAnsiTheme="minorHAnsi" w:cstheme="minorHAnsi"/>
          <w:sz w:val="22"/>
          <w:szCs w:val="22"/>
        </w:rPr>
      </w:pPr>
      <w:r w:rsidRPr="004E6358">
        <w:rPr>
          <w:rFonts w:asciiTheme="minorHAnsi" w:hAnsiTheme="minorHAnsi" w:cstheme="minorHAnsi"/>
          <w:sz w:val="22"/>
          <w:szCs w:val="22"/>
        </w:rPr>
        <w:t xml:space="preserve">Maitrise </w:t>
      </w:r>
      <w:r>
        <w:rPr>
          <w:rFonts w:asciiTheme="minorHAnsi" w:hAnsiTheme="minorHAnsi" w:cstheme="minorHAnsi"/>
          <w:sz w:val="22"/>
          <w:szCs w:val="22"/>
        </w:rPr>
        <w:t>de logiciels de modélisation ou de langage de programmation</w:t>
      </w:r>
      <w:r w:rsidRPr="004E6358">
        <w:rPr>
          <w:rFonts w:asciiTheme="minorHAnsi" w:hAnsiTheme="minorHAnsi" w:cstheme="minorHAnsi"/>
          <w:sz w:val="22"/>
          <w:szCs w:val="22"/>
        </w:rPr>
        <w:t>.</w:t>
      </w:r>
    </w:p>
    <w:p w14:paraId="255D40C0" w14:textId="77777777" w:rsidR="00F709C4" w:rsidRPr="004E6358" w:rsidRDefault="00F709C4" w:rsidP="00F709C4">
      <w:pPr>
        <w:pStyle w:val="Normalweb"/>
        <w:numPr>
          <w:ilvl w:val="0"/>
          <w:numId w:val="13"/>
        </w:numPr>
        <w:spacing w:before="0" w:beforeAutospacing="0" w:after="0" w:afterAutospacing="0"/>
        <w:ind w:right="-567"/>
        <w:contextualSpacing/>
        <w:jc w:val="both"/>
        <w:rPr>
          <w:rFonts w:asciiTheme="minorHAnsi" w:hAnsiTheme="minorHAnsi" w:cstheme="minorHAnsi"/>
          <w:sz w:val="22"/>
          <w:szCs w:val="22"/>
        </w:rPr>
      </w:pPr>
      <w:r w:rsidRPr="004E6358">
        <w:rPr>
          <w:rFonts w:asciiTheme="minorHAnsi" w:hAnsiTheme="minorHAnsi" w:cstheme="minorHAnsi"/>
          <w:sz w:val="22"/>
          <w:szCs w:val="22"/>
        </w:rPr>
        <w:t>Connaissances en érosion des sols et flux de sédiment,</w:t>
      </w:r>
    </w:p>
    <w:p w14:paraId="0589DD92" w14:textId="77777777" w:rsidR="00F709C4" w:rsidRPr="004E6358" w:rsidRDefault="00F709C4" w:rsidP="00F709C4">
      <w:pPr>
        <w:pStyle w:val="Normalweb"/>
        <w:numPr>
          <w:ilvl w:val="0"/>
          <w:numId w:val="13"/>
        </w:numPr>
        <w:spacing w:before="0" w:beforeAutospacing="0" w:after="0" w:afterAutospacing="0"/>
        <w:ind w:right="-567"/>
        <w:contextualSpacing/>
        <w:jc w:val="both"/>
        <w:rPr>
          <w:rFonts w:asciiTheme="minorHAnsi" w:hAnsiTheme="minorHAnsi" w:cstheme="minorHAnsi"/>
          <w:sz w:val="22"/>
          <w:szCs w:val="22"/>
        </w:rPr>
      </w:pPr>
      <w:r w:rsidRPr="004E6358">
        <w:rPr>
          <w:rFonts w:asciiTheme="minorHAnsi" w:hAnsiTheme="minorHAnsi" w:cstheme="minorHAnsi"/>
          <w:sz w:val="22"/>
          <w:szCs w:val="22"/>
        </w:rPr>
        <w:t>Bonne capacité à travailler en équipe,</w:t>
      </w:r>
    </w:p>
    <w:p w14:paraId="1505D906" w14:textId="77777777" w:rsidR="00F709C4" w:rsidRPr="004E6358" w:rsidRDefault="00F709C4" w:rsidP="00F709C4">
      <w:pPr>
        <w:pStyle w:val="Normalweb"/>
        <w:numPr>
          <w:ilvl w:val="0"/>
          <w:numId w:val="13"/>
        </w:numPr>
        <w:ind w:right="-567"/>
        <w:contextualSpacing/>
        <w:jc w:val="both"/>
        <w:rPr>
          <w:rFonts w:asciiTheme="minorHAnsi" w:hAnsiTheme="minorHAnsi" w:cstheme="minorHAnsi"/>
          <w:sz w:val="22"/>
          <w:szCs w:val="22"/>
        </w:rPr>
      </w:pPr>
      <w:r w:rsidRPr="004E6358">
        <w:rPr>
          <w:rFonts w:asciiTheme="minorHAnsi" w:hAnsiTheme="minorHAnsi" w:cstheme="minorHAnsi"/>
          <w:sz w:val="22"/>
          <w:szCs w:val="22"/>
        </w:rPr>
        <w:t>Bon esprit de synthèse et capacités rédactionnelles,</w:t>
      </w:r>
    </w:p>
    <w:p w14:paraId="1C636A63" w14:textId="77777777" w:rsidR="00F709C4" w:rsidRPr="004E6358" w:rsidRDefault="00F709C4" w:rsidP="00F709C4">
      <w:pPr>
        <w:pStyle w:val="Normalweb"/>
        <w:numPr>
          <w:ilvl w:val="0"/>
          <w:numId w:val="13"/>
        </w:numPr>
        <w:spacing w:before="0" w:beforeAutospacing="0" w:after="0" w:afterAutospacing="0"/>
        <w:ind w:right="-567"/>
        <w:contextualSpacing/>
        <w:jc w:val="both"/>
        <w:rPr>
          <w:rFonts w:asciiTheme="minorHAnsi" w:hAnsiTheme="minorHAnsi" w:cstheme="minorHAnsi"/>
          <w:sz w:val="22"/>
          <w:szCs w:val="22"/>
        </w:rPr>
      </w:pPr>
      <w:r w:rsidRPr="004E6358">
        <w:rPr>
          <w:rFonts w:asciiTheme="minorHAnsi" w:hAnsiTheme="minorHAnsi" w:cstheme="minorHAnsi"/>
          <w:sz w:val="22"/>
          <w:szCs w:val="22"/>
        </w:rPr>
        <w:t>Autonomie, rigueur,</w:t>
      </w:r>
    </w:p>
    <w:p w14:paraId="2CF51C13" w14:textId="77777777" w:rsidR="00F709C4" w:rsidRPr="004E6358" w:rsidRDefault="00F709C4" w:rsidP="00F709C4">
      <w:pPr>
        <w:pStyle w:val="Normalweb"/>
        <w:numPr>
          <w:ilvl w:val="0"/>
          <w:numId w:val="13"/>
        </w:numPr>
        <w:spacing w:before="0" w:beforeAutospacing="0" w:after="0" w:afterAutospacing="0"/>
        <w:ind w:right="-567"/>
        <w:contextualSpacing/>
        <w:jc w:val="both"/>
        <w:rPr>
          <w:rFonts w:asciiTheme="minorHAnsi" w:hAnsiTheme="minorHAnsi" w:cstheme="minorHAnsi"/>
          <w:sz w:val="22"/>
          <w:szCs w:val="22"/>
        </w:rPr>
      </w:pPr>
      <w:r w:rsidRPr="004E6358">
        <w:rPr>
          <w:rFonts w:asciiTheme="minorHAnsi" w:hAnsiTheme="minorHAnsi" w:cstheme="minorHAnsi"/>
          <w:sz w:val="22"/>
          <w:szCs w:val="22"/>
        </w:rPr>
        <w:t>Sens de l'organisation,</w:t>
      </w:r>
    </w:p>
    <w:p w14:paraId="5242E303" w14:textId="77777777" w:rsidR="00F709C4" w:rsidRPr="004E6358" w:rsidRDefault="00F709C4" w:rsidP="00F709C4">
      <w:pPr>
        <w:pStyle w:val="Normalweb"/>
        <w:numPr>
          <w:ilvl w:val="0"/>
          <w:numId w:val="13"/>
        </w:numPr>
        <w:spacing w:before="0" w:beforeAutospacing="0" w:after="0" w:afterAutospacing="0"/>
        <w:ind w:right="-567"/>
        <w:contextualSpacing/>
        <w:jc w:val="both"/>
        <w:rPr>
          <w:rFonts w:asciiTheme="minorHAnsi" w:hAnsiTheme="minorHAnsi" w:cstheme="minorHAnsi"/>
          <w:sz w:val="22"/>
          <w:szCs w:val="22"/>
        </w:rPr>
      </w:pPr>
      <w:r w:rsidRPr="004E6358">
        <w:rPr>
          <w:rFonts w:asciiTheme="minorHAnsi" w:hAnsiTheme="minorHAnsi" w:cstheme="minorHAnsi"/>
          <w:sz w:val="22"/>
          <w:szCs w:val="22"/>
        </w:rPr>
        <w:t>Expérience dans la publication scientifique internationale.</w:t>
      </w:r>
    </w:p>
    <w:p w14:paraId="000753C2" w14:textId="77777777" w:rsidR="00F709C4" w:rsidRDefault="00F709C4" w:rsidP="002E5A07">
      <w:pPr>
        <w:rPr>
          <w:rFonts w:asciiTheme="minorHAnsi" w:hAnsiTheme="minorHAnsi"/>
        </w:rPr>
      </w:pPr>
    </w:p>
    <w:p w14:paraId="4A340A20" w14:textId="097EAE47" w:rsidR="007C6EDD" w:rsidRPr="000B1566" w:rsidRDefault="007C6EDD" w:rsidP="009F180E">
      <w:pPr>
        <w:jc w:val="both"/>
        <w:rPr>
          <w:rFonts w:asciiTheme="minorHAnsi" w:hAnsiTheme="minorHAnsi"/>
        </w:rPr>
      </w:pPr>
      <w:r w:rsidRPr="003936E6">
        <w:rPr>
          <w:rFonts w:asciiTheme="minorHAnsi" w:hAnsiTheme="minorHAnsi"/>
        </w:rPr>
        <w:t xml:space="preserve">La personne recrutée devra s’inscrire pleinement dans le projet EVAPORE (Evaluation de la Politique Régionale Ruissellement-Erosion), dialoguer et interagir avec les autres acteurs du projet et articuler ses </w:t>
      </w:r>
      <w:r w:rsidRPr="000B1566">
        <w:rPr>
          <w:rFonts w:asciiTheme="minorHAnsi" w:hAnsiTheme="minorHAnsi"/>
        </w:rPr>
        <w:t xml:space="preserve">travaux dans l’approche </w:t>
      </w:r>
      <w:proofErr w:type="spellStart"/>
      <w:r w:rsidRPr="000B1566">
        <w:rPr>
          <w:rFonts w:asciiTheme="minorHAnsi" w:hAnsiTheme="minorHAnsi"/>
        </w:rPr>
        <w:t>multi-disciplinaire</w:t>
      </w:r>
      <w:proofErr w:type="spellEnd"/>
      <w:r w:rsidRPr="000B1566">
        <w:rPr>
          <w:rFonts w:asciiTheme="minorHAnsi" w:hAnsiTheme="minorHAnsi"/>
        </w:rPr>
        <w:t xml:space="preserve"> du programme. </w:t>
      </w:r>
      <w:r w:rsidRPr="000B1566">
        <w:rPr>
          <w:rFonts w:asciiTheme="minorHAnsi" w:hAnsiTheme="minorHAnsi"/>
          <w:bCs/>
        </w:rPr>
        <w:t xml:space="preserve">Il sera ainsi chargé de faire l’interface entre chercheurs au sein d’une équipe </w:t>
      </w:r>
      <w:proofErr w:type="spellStart"/>
      <w:r w:rsidRPr="000B1566">
        <w:rPr>
          <w:rFonts w:asciiTheme="minorHAnsi" w:hAnsiTheme="minorHAnsi"/>
          <w:bCs/>
        </w:rPr>
        <w:t>plurisdisciplinaire</w:t>
      </w:r>
      <w:proofErr w:type="spellEnd"/>
      <w:r w:rsidRPr="000B1566">
        <w:rPr>
          <w:rFonts w:asciiTheme="minorHAnsi" w:hAnsiTheme="minorHAnsi"/>
          <w:bCs/>
        </w:rPr>
        <w:t xml:space="preserve">. </w:t>
      </w:r>
    </w:p>
    <w:p w14:paraId="5B75669F" w14:textId="5BF09D4D" w:rsidR="007C6EDD" w:rsidRPr="000B1566" w:rsidRDefault="003936E6" w:rsidP="003936E6">
      <w:pPr>
        <w:pStyle w:val="Corpsdetexte"/>
        <w:rPr>
          <w:rFonts w:asciiTheme="minorHAnsi" w:hAnsiTheme="minorHAnsi"/>
          <w:sz w:val="24"/>
          <w:szCs w:val="24"/>
        </w:rPr>
      </w:pPr>
      <w:r w:rsidRPr="000B1566">
        <w:rPr>
          <w:rFonts w:asciiTheme="minorHAnsi" w:hAnsiTheme="minorHAnsi"/>
          <w:sz w:val="24"/>
          <w:szCs w:val="24"/>
        </w:rPr>
        <w:t xml:space="preserve">Au delà des objectifs et missions définis ci-dessus (cf. Description du sujet : Synthèse biblio sur lien karst et turbidité, Enquêtes sur les coûts de traitement de l’eau potable, Approfondir le lien pluie / ruissellement/ karst / captage par approche statistique, Lien avec modélisation </w:t>
      </w:r>
      <w:proofErr w:type="spellStart"/>
      <w:r w:rsidRPr="000B1566">
        <w:rPr>
          <w:rFonts w:asciiTheme="minorHAnsi" w:hAnsiTheme="minorHAnsi"/>
          <w:sz w:val="24"/>
          <w:szCs w:val="24"/>
        </w:rPr>
        <w:t>Watersed</w:t>
      </w:r>
      <w:proofErr w:type="spellEnd"/>
      <w:r w:rsidRPr="000B1566">
        <w:rPr>
          <w:rFonts w:asciiTheme="minorHAnsi" w:hAnsiTheme="minorHAnsi"/>
          <w:sz w:val="24"/>
          <w:szCs w:val="24"/>
        </w:rPr>
        <w:t>)</w:t>
      </w:r>
      <w:r w:rsidR="009F180E" w:rsidRPr="000B1566">
        <w:rPr>
          <w:rFonts w:asciiTheme="minorHAnsi" w:hAnsiTheme="minorHAnsi"/>
          <w:sz w:val="24"/>
          <w:szCs w:val="24"/>
        </w:rPr>
        <w:t>,</w:t>
      </w:r>
      <w:r w:rsidRPr="000B1566">
        <w:rPr>
          <w:rFonts w:asciiTheme="minorHAnsi" w:hAnsiTheme="minorHAnsi"/>
          <w:sz w:val="24"/>
          <w:szCs w:val="24"/>
        </w:rPr>
        <w:t xml:space="preserve"> le CDD aura également pour mission de valoriser les résultats de l’étude sous forme de deux publications scientifiques dans des revues internationales et plusieurs communications à colloque.</w:t>
      </w:r>
    </w:p>
    <w:p w14:paraId="7127EF69" w14:textId="77777777" w:rsidR="00E7582B" w:rsidRDefault="00E7582B" w:rsidP="003622B3">
      <w:pPr>
        <w:jc w:val="both"/>
        <w:rPr>
          <w:rFonts w:asciiTheme="minorHAnsi" w:hAnsiTheme="minorHAnsi"/>
        </w:rPr>
      </w:pPr>
    </w:p>
    <w:p w14:paraId="4ADEE324" w14:textId="77777777" w:rsidR="003936E6" w:rsidRDefault="003936E6" w:rsidP="003622B3">
      <w:pPr>
        <w:jc w:val="both"/>
        <w:rPr>
          <w:rFonts w:asciiTheme="minorHAnsi" w:hAnsiTheme="minorHAnsi"/>
          <w:sz w:val="22"/>
        </w:rPr>
      </w:pPr>
    </w:p>
    <w:p w14:paraId="241886A8" w14:textId="4416E8BB" w:rsidR="00AF13E1" w:rsidRPr="00F709C4" w:rsidRDefault="00AF13E1" w:rsidP="003622B3">
      <w:pPr>
        <w:jc w:val="both"/>
        <w:rPr>
          <w:rFonts w:asciiTheme="minorHAnsi" w:hAnsiTheme="minorHAnsi"/>
        </w:rPr>
      </w:pPr>
      <w:r w:rsidRPr="00F709C4">
        <w:rPr>
          <w:rFonts w:asciiTheme="minorHAnsi" w:hAnsiTheme="minorHAnsi"/>
        </w:rPr>
        <w:t xml:space="preserve">Rémunération : </w:t>
      </w:r>
      <w:r w:rsidR="00895381" w:rsidRPr="00F709C4">
        <w:rPr>
          <w:rFonts w:asciiTheme="minorHAnsi" w:hAnsiTheme="minorHAnsi"/>
        </w:rPr>
        <w:t xml:space="preserve"> 2000 € net mensuel</w:t>
      </w:r>
    </w:p>
    <w:p w14:paraId="5BF2AA14" w14:textId="77777777" w:rsidR="00AF13E1" w:rsidRDefault="00AF13E1" w:rsidP="003622B3">
      <w:pPr>
        <w:jc w:val="both"/>
        <w:rPr>
          <w:rFonts w:asciiTheme="minorHAnsi" w:hAnsiTheme="minorHAnsi"/>
          <w:sz w:val="22"/>
        </w:rPr>
      </w:pPr>
    </w:p>
    <w:sectPr w:rsidR="00AF13E1" w:rsidSect="003622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A28"/>
    <w:multiLevelType w:val="hybridMultilevel"/>
    <w:tmpl w:val="3EC218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DD30B4"/>
    <w:multiLevelType w:val="multilevel"/>
    <w:tmpl w:val="6ECC1DE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4A63B1F"/>
    <w:multiLevelType w:val="hybridMultilevel"/>
    <w:tmpl w:val="AB788B60"/>
    <w:lvl w:ilvl="0" w:tplc="E960A432">
      <w:start w:val="110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AE1A26"/>
    <w:multiLevelType w:val="hybridMultilevel"/>
    <w:tmpl w:val="8196B8C0"/>
    <w:lvl w:ilvl="0" w:tplc="AF5AB49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8A3DF4"/>
    <w:multiLevelType w:val="hybridMultilevel"/>
    <w:tmpl w:val="0D8033D0"/>
    <w:lvl w:ilvl="0" w:tplc="040C0001">
      <w:start w:val="1"/>
      <w:numFmt w:val="bullet"/>
      <w:lvlText w:val=""/>
      <w:lvlJc w:val="left"/>
      <w:pPr>
        <w:ind w:left="432" w:hanging="360"/>
      </w:pPr>
      <w:rPr>
        <w:rFonts w:ascii="Symbol" w:hAnsi="Symbol"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5">
    <w:nsid w:val="3DF7607B"/>
    <w:multiLevelType w:val="hybridMultilevel"/>
    <w:tmpl w:val="49A6C0AE"/>
    <w:lvl w:ilvl="0" w:tplc="B72214BA">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3FEF69B8"/>
    <w:multiLevelType w:val="hybridMultilevel"/>
    <w:tmpl w:val="CC44E0FC"/>
    <w:lvl w:ilvl="0" w:tplc="8416C486">
      <w:start w:val="1107"/>
      <w:numFmt w:val="bullet"/>
      <w:lvlText w:val="-"/>
      <w:lvlJc w:val="left"/>
      <w:pPr>
        <w:ind w:left="435" w:hanging="360"/>
      </w:pPr>
      <w:rPr>
        <w:rFonts w:ascii="Times New Roman" w:eastAsia="Times New Roman"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7">
    <w:nsid w:val="402F1B48"/>
    <w:multiLevelType w:val="hybridMultilevel"/>
    <w:tmpl w:val="C026F810"/>
    <w:lvl w:ilvl="0" w:tplc="E32A85E4">
      <w:start w:val="1"/>
      <w:numFmt w:val="bullet"/>
      <w:lvlText w:val=""/>
      <w:lvlJc w:val="left"/>
      <w:pPr>
        <w:ind w:left="1359" w:hanging="360"/>
      </w:pPr>
      <w:rPr>
        <w:rFonts w:ascii="Symbol" w:hAnsi="Symbol" w:hint="default"/>
      </w:rPr>
    </w:lvl>
    <w:lvl w:ilvl="1" w:tplc="040C0003" w:tentative="1">
      <w:start w:val="1"/>
      <w:numFmt w:val="bullet"/>
      <w:lvlText w:val="o"/>
      <w:lvlJc w:val="left"/>
      <w:pPr>
        <w:ind w:left="2079" w:hanging="360"/>
      </w:pPr>
      <w:rPr>
        <w:rFonts w:ascii="Courier New" w:hAnsi="Courier New" w:cs="Courier New" w:hint="default"/>
      </w:rPr>
    </w:lvl>
    <w:lvl w:ilvl="2" w:tplc="040C0005" w:tentative="1">
      <w:start w:val="1"/>
      <w:numFmt w:val="bullet"/>
      <w:lvlText w:val=""/>
      <w:lvlJc w:val="left"/>
      <w:pPr>
        <w:ind w:left="2799" w:hanging="360"/>
      </w:pPr>
      <w:rPr>
        <w:rFonts w:ascii="Wingdings" w:hAnsi="Wingdings" w:hint="default"/>
      </w:rPr>
    </w:lvl>
    <w:lvl w:ilvl="3" w:tplc="040C0001" w:tentative="1">
      <w:start w:val="1"/>
      <w:numFmt w:val="bullet"/>
      <w:lvlText w:val=""/>
      <w:lvlJc w:val="left"/>
      <w:pPr>
        <w:ind w:left="3519" w:hanging="360"/>
      </w:pPr>
      <w:rPr>
        <w:rFonts w:ascii="Symbol" w:hAnsi="Symbol" w:hint="default"/>
      </w:rPr>
    </w:lvl>
    <w:lvl w:ilvl="4" w:tplc="040C0003" w:tentative="1">
      <w:start w:val="1"/>
      <w:numFmt w:val="bullet"/>
      <w:lvlText w:val="o"/>
      <w:lvlJc w:val="left"/>
      <w:pPr>
        <w:ind w:left="4239" w:hanging="360"/>
      </w:pPr>
      <w:rPr>
        <w:rFonts w:ascii="Courier New" w:hAnsi="Courier New" w:cs="Courier New" w:hint="default"/>
      </w:rPr>
    </w:lvl>
    <w:lvl w:ilvl="5" w:tplc="040C0005" w:tentative="1">
      <w:start w:val="1"/>
      <w:numFmt w:val="bullet"/>
      <w:lvlText w:val=""/>
      <w:lvlJc w:val="left"/>
      <w:pPr>
        <w:ind w:left="4959" w:hanging="360"/>
      </w:pPr>
      <w:rPr>
        <w:rFonts w:ascii="Wingdings" w:hAnsi="Wingdings" w:hint="default"/>
      </w:rPr>
    </w:lvl>
    <w:lvl w:ilvl="6" w:tplc="040C0001" w:tentative="1">
      <w:start w:val="1"/>
      <w:numFmt w:val="bullet"/>
      <w:lvlText w:val=""/>
      <w:lvlJc w:val="left"/>
      <w:pPr>
        <w:ind w:left="5679" w:hanging="360"/>
      </w:pPr>
      <w:rPr>
        <w:rFonts w:ascii="Symbol" w:hAnsi="Symbol" w:hint="default"/>
      </w:rPr>
    </w:lvl>
    <w:lvl w:ilvl="7" w:tplc="040C0003" w:tentative="1">
      <w:start w:val="1"/>
      <w:numFmt w:val="bullet"/>
      <w:lvlText w:val="o"/>
      <w:lvlJc w:val="left"/>
      <w:pPr>
        <w:ind w:left="6399" w:hanging="360"/>
      </w:pPr>
      <w:rPr>
        <w:rFonts w:ascii="Courier New" w:hAnsi="Courier New" w:cs="Courier New" w:hint="default"/>
      </w:rPr>
    </w:lvl>
    <w:lvl w:ilvl="8" w:tplc="040C0005" w:tentative="1">
      <w:start w:val="1"/>
      <w:numFmt w:val="bullet"/>
      <w:lvlText w:val=""/>
      <w:lvlJc w:val="left"/>
      <w:pPr>
        <w:ind w:left="7119" w:hanging="360"/>
      </w:pPr>
      <w:rPr>
        <w:rFonts w:ascii="Wingdings" w:hAnsi="Wingdings" w:hint="default"/>
      </w:rPr>
    </w:lvl>
  </w:abstractNum>
  <w:abstractNum w:abstractNumId="8">
    <w:nsid w:val="4192329C"/>
    <w:multiLevelType w:val="multilevel"/>
    <w:tmpl w:val="9282E85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3AB2E8C"/>
    <w:multiLevelType w:val="hybridMultilevel"/>
    <w:tmpl w:val="CDA26124"/>
    <w:lvl w:ilvl="0" w:tplc="040C000F">
      <w:start w:val="1"/>
      <w:numFmt w:val="decimal"/>
      <w:lvlText w:val="%1."/>
      <w:lvlJc w:val="left"/>
      <w:pPr>
        <w:ind w:left="1217" w:hanging="360"/>
      </w:pPr>
    </w:lvl>
    <w:lvl w:ilvl="1" w:tplc="040C0019" w:tentative="1">
      <w:start w:val="1"/>
      <w:numFmt w:val="lowerLetter"/>
      <w:lvlText w:val="%2."/>
      <w:lvlJc w:val="left"/>
      <w:pPr>
        <w:ind w:left="1937" w:hanging="360"/>
      </w:pPr>
    </w:lvl>
    <w:lvl w:ilvl="2" w:tplc="040C001B" w:tentative="1">
      <w:start w:val="1"/>
      <w:numFmt w:val="lowerRoman"/>
      <w:lvlText w:val="%3."/>
      <w:lvlJc w:val="right"/>
      <w:pPr>
        <w:ind w:left="2657" w:hanging="180"/>
      </w:pPr>
    </w:lvl>
    <w:lvl w:ilvl="3" w:tplc="040C000F" w:tentative="1">
      <w:start w:val="1"/>
      <w:numFmt w:val="decimal"/>
      <w:lvlText w:val="%4."/>
      <w:lvlJc w:val="left"/>
      <w:pPr>
        <w:ind w:left="3377" w:hanging="360"/>
      </w:pPr>
    </w:lvl>
    <w:lvl w:ilvl="4" w:tplc="040C0019" w:tentative="1">
      <w:start w:val="1"/>
      <w:numFmt w:val="lowerLetter"/>
      <w:lvlText w:val="%5."/>
      <w:lvlJc w:val="left"/>
      <w:pPr>
        <w:ind w:left="4097" w:hanging="360"/>
      </w:pPr>
    </w:lvl>
    <w:lvl w:ilvl="5" w:tplc="040C001B" w:tentative="1">
      <w:start w:val="1"/>
      <w:numFmt w:val="lowerRoman"/>
      <w:lvlText w:val="%6."/>
      <w:lvlJc w:val="right"/>
      <w:pPr>
        <w:ind w:left="4817" w:hanging="180"/>
      </w:pPr>
    </w:lvl>
    <w:lvl w:ilvl="6" w:tplc="040C000F" w:tentative="1">
      <w:start w:val="1"/>
      <w:numFmt w:val="decimal"/>
      <w:lvlText w:val="%7."/>
      <w:lvlJc w:val="left"/>
      <w:pPr>
        <w:ind w:left="5537" w:hanging="360"/>
      </w:pPr>
    </w:lvl>
    <w:lvl w:ilvl="7" w:tplc="040C0019" w:tentative="1">
      <w:start w:val="1"/>
      <w:numFmt w:val="lowerLetter"/>
      <w:lvlText w:val="%8."/>
      <w:lvlJc w:val="left"/>
      <w:pPr>
        <w:ind w:left="6257" w:hanging="360"/>
      </w:pPr>
    </w:lvl>
    <w:lvl w:ilvl="8" w:tplc="040C001B" w:tentative="1">
      <w:start w:val="1"/>
      <w:numFmt w:val="lowerRoman"/>
      <w:lvlText w:val="%9."/>
      <w:lvlJc w:val="right"/>
      <w:pPr>
        <w:ind w:left="6977" w:hanging="180"/>
      </w:pPr>
    </w:lvl>
  </w:abstractNum>
  <w:abstractNum w:abstractNumId="10">
    <w:nsid w:val="4F1A6B03"/>
    <w:multiLevelType w:val="hybridMultilevel"/>
    <w:tmpl w:val="D99E2012"/>
    <w:lvl w:ilvl="0" w:tplc="2376E8F0">
      <w:numFmt w:val="bullet"/>
      <w:lvlText w:val="-"/>
      <w:lvlJc w:val="left"/>
      <w:pPr>
        <w:ind w:left="432" w:hanging="360"/>
      </w:pPr>
      <w:rPr>
        <w:rFonts w:ascii="Calibri" w:eastAsia="Times New Roman" w:hAnsi="Calibri" w:cs="Times New Roman"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11">
    <w:nsid w:val="50DD7045"/>
    <w:multiLevelType w:val="hybridMultilevel"/>
    <w:tmpl w:val="A194421E"/>
    <w:lvl w:ilvl="0" w:tplc="4968A07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6332531F"/>
    <w:multiLevelType w:val="hybridMultilevel"/>
    <w:tmpl w:val="1A522CCA"/>
    <w:lvl w:ilvl="0" w:tplc="4998C60A">
      <w:numFmt w:val="bullet"/>
      <w:lvlText w:val="-"/>
      <w:lvlJc w:val="left"/>
      <w:pPr>
        <w:ind w:left="792" w:hanging="360"/>
      </w:pPr>
      <w:rPr>
        <w:rFonts w:ascii="Calibri" w:eastAsia="Times New Roman" w:hAnsi="Calibri" w:cs="Times New Roman"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num w:numId="1">
    <w:abstractNumId w:val="2"/>
  </w:num>
  <w:num w:numId="2">
    <w:abstractNumId w:val="6"/>
  </w:num>
  <w:num w:numId="3">
    <w:abstractNumId w:val="9"/>
  </w:num>
  <w:num w:numId="4">
    <w:abstractNumId w:val="8"/>
  </w:num>
  <w:num w:numId="5">
    <w:abstractNumId w:val="5"/>
  </w:num>
  <w:num w:numId="6">
    <w:abstractNumId w:val="7"/>
  </w:num>
  <w:num w:numId="7">
    <w:abstractNumId w:val="4"/>
  </w:num>
  <w:num w:numId="8">
    <w:abstractNumId w:val="10"/>
  </w:num>
  <w:num w:numId="9">
    <w:abstractNumId w:val="12"/>
  </w:num>
  <w:num w:numId="10">
    <w:abstractNumId w:val="1"/>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2B3"/>
    <w:rsid w:val="000112C6"/>
    <w:rsid w:val="0001777A"/>
    <w:rsid w:val="000B1566"/>
    <w:rsid w:val="000E760E"/>
    <w:rsid w:val="0012221A"/>
    <w:rsid w:val="0013146C"/>
    <w:rsid w:val="0026643A"/>
    <w:rsid w:val="002B0153"/>
    <w:rsid w:val="002D3856"/>
    <w:rsid w:val="002E5A07"/>
    <w:rsid w:val="003072B8"/>
    <w:rsid w:val="003622B3"/>
    <w:rsid w:val="003824BA"/>
    <w:rsid w:val="003936E6"/>
    <w:rsid w:val="00490037"/>
    <w:rsid w:val="00514A9E"/>
    <w:rsid w:val="006532CA"/>
    <w:rsid w:val="007470B3"/>
    <w:rsid w:val="007C1968"/>
    <w:rsid w:val="007C6EDD"/>
    <w:rsid w:val="00841A03"/>
    <w:rsid w:val="00855635"/>
    <w:rsid w:val="00895381"/>
    <w:rsid w:val="008B1E81"/>
    <w:rsid w:val="00926DC9"/>
    <w:rsid w:val="009F180E"/>
    <w:rsid w:val="00A714B4"/>
    <w:rsid w:val="00AF13E1"/>
    <w:rsid w:val="00C33930"/>
    <w:rsid w:val="00DA185D"/>
    <w:rsid w:val="00DC1DEC"/>
    <w:rsid w:val="00E01A00"/>
    <w:rsid w:val="00E647EC"/>
    <w:rsid w:val="00E7582B"/>
    <w:rsid w:val="00F709C4"/>
    <w:rsid w:val="00FC566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B59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22B3"/>
    <w:pPr>
      <w:spacing w:after="0" w:line="240" w:lineRule="auto"/>
    </w:pPr>
    <w:rPr>
      <w:rFonts w:ascii="Times New Roman" w:eastAsia="Times New Roman" w:hAnsi="Times New Roman" w:cs="Times New Roman"/>
      <w:sz w:val="24"/>
      <w:szCs w:val="24"/>
      <w:lang w:eastAsia="fr-FR"/>
    </w:rPr>
  </w:style>
  <w:style w:type="paragraph" w:styleId="Titre6">
    <w:name w:val="heading 6"/>
    <w:basedOn w:val="Normal"/>
    <w:next w:val="Normal"/>
    <w:link w:val="Titre6Car"/>
    <w:qFormat/>
    <w:rsid w:val="003622B3"/>
    <w:pPr>
      <w:keepNext/>
      <w:outlineLvl w:val="5"/>
    </w:pPr>
    <w:rPr>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3622B3"/>
    <w:rPr>
      <w:rFonts w:ascii="Times New Roman" w:eastAsia="Times New Roman" w:hAnsi="Times New Roman" w:cs="Times New Roman"/>
      <w:sz w:val="32"/>
      <w:szCs w:val="24"/>
      <w:lang w:eastAsia="fr-FR"/>
    </w:rPr>
  </w:style>
  <w:style w:type="paragraph" w:styleId="Corpsdetexte">
    <w:name w:val="Body Text"/>
    <w:basedOn w:val="Normal"/>
    <w:link w:val="CorpsdetexteCar"/>
    <w:semiHidden/>
    <w:rsid w:val="003622B3"/>
    <w:pPr>
      <w:jc w:val="both"/>
    </w:pPr>
    <w:rPr>
      <w:sz w:val="22"/>
      <w:szCs w:val="20"/>
    </w:rPr>
  </w:style>
  <w:style w:type="character" w:customStyle="1" w:styleId="CorpsdetexteCar">
    <w:name w:val="Corps de texte Car"/>
    <w:basedOn w:val="Policepardfaut"/>
    <w:link w:val="Corpsdetexte"/>
    <w:semiHidden/>
    <w:rsid w:val="003622B3"/>
    <w:rPr>
      <w:rFonts w:ascii="Times New Roman" w:eastAsia="Times New Roman" w:hAnsi="Times New Roman" w:cs="Times New Roman"/>
      <w:szCs w:val="20"/>
      <w:lang w:eastAsia="fr-FR"/>
    </w:rPr>
  </w:style>
  <w:style w:type="paragraph" w:styleId="Pardeliste">
    <w:name w:val="List Paragraph"/>
    <w:basedOn w:val="Normal"/>
    <w:uiPriority w:val="34"/>
    <w:qFormat/>
    <w:rsid w:val="003622B3"/>
    <w:pPr>
      <w:ind w:left="720"/>
      <w:contextualSpacing/>
    </w:pPr>
  </w:style>
  <w:style w:type="paragraph" w:styleId="Textedebulles">
    <w:name w:val="Balloon Text"/>
    <w:basedOn w:val="Normal"/>
    <w:link w:val="TextedebullesCar"/>
    <w:uiPriority w:val="99"/>
    <w:semiHidden/>
    <w:unhideWhenUsed/>
    <w:rsid w:val="008B1E81"/>
    <w:rPr>
      <w:rFonts w:ascii="Tahoma" w:hAnsi="Tahoma" w:cs="Tahoma"/>
      <w:sz w:val="16"/>
      <w:szCs w:val="16"/>
    </w:rPr>
  </w:style>
  <w:style w:type="character" w:customStyle="1" w:styleId="TextedebullesCar">
    <w:name w:val="Texte de bulles Car"/>
    <w:basedOn w:val="Policepardfaut"/>
    <w:link w:val="Textedebulles"/>
    <w:uiPriority w:val="99"/>
    <w:semiHidden/>
    <w:rsid w:val="008B1E81"/>
    <w:rPr>
      <w:rFonts w:ascii="Tahoma" w:eastAsia="Times New Roman" w:hAnsi="Tahoma" w:cs="Tahoma"/>
      <w:sz w:val="16"/>
      <w:szCs w:val="16"/>
      <w:lang w:eastAsia="fr-FR"/>
    </w:rPr>
  </w:style>
  <w:style w:type="character" w:styleId="Lienhypertexte">
    <w:name w:val="Hyperlink"/>
    <w:basedOn w:val="Policepardfaut"/>
    <w:uiPriority w:val="99"/>
    <w:unhideWhenUsed/>
    <w:rsid w:val="002E5A07"/>
    <w:rPr>
      <w:color w:val="0563C1" w:themeColor="hyperlink"/>
      <w:u w:val="single"/>
    </w:rPr>
  </w:style>
  <w:style w:type="paragraph" w:styleId="Normalweb">
    <w:name w:val="Normal (Web)"/>
    <w:basedOn w:val="Normal"/>
    <w:semiHidden/>
    <w:unhideWhenUsed/>
    <w:rsid w:val="00F709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hyperlink" Target="mailto:benoit.laignel@univ-rouen.f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1522</Words>
  <Characters>8376</Characters>
  <Application>Microsoft Macintosh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BRGM</Company>
  <LinksUpToDate>false</LinksUpToDate>
  <CharactersWithSpaces>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dc:creator>
  <cp:lastModifiedBy>DE GARIDEL-THORON Camille</cp:lastModifiedBy>
  <cp:revision>2</cp:revision>
  <dcterms:created xsi:type="dcterms:W3CDTF">2018-04-13T09:25:00Z</dcterms:created>
  <dcterms:modified xsi:type="dcterms:W3CDTF">2018-04-13T09:25:00Z</dcterms:modified>
</cp:coreProperties>
</file>