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28" w:rsidRPr="00C601CE" w:rsidRDefault="00674FAC" w:rsidP="009128CA">
      <w:pPr>
        <w:spacing w:before="100" w:beforeAutospacing="1" w:after="0"/>
        <w:jc w:val="center"/>
        <w:rPr>
          <w:b/>
          <w:color w:val="0000FF"/>
        </w:rPr>
      </w:pPr>
      <w:r>
        <w:rPr>
          <w:b/>
          <w:color w:val="0000FF"/>
        </w:rPr>
        <w:t>Appel d’offre SERENADE 2014.</w:t>
      </w:r>
    </w:p>
    <w:p w:rsidR="009C2728" w:rsidRDefault="002E6715" w:rsidP="009128CA">
      <w:pPr>
        <w:spacing w:before="100" w:beforeAutospacing="1" w:after="0"/>
      </w:pPr>
      <w:r>
        <w:t xml:space="preserve">Suite au Comité Scientifique de Pilotage du mois de </w:t>
      </w:r>
      <w:r w:rsidR="009C2728">
        <w:t>janvier voici les priorités qui ont été décidés pour l’appel d’offre 2014.</w:t>
      </w:r>
    </w:p>
    <w:p w:rsidR="009C2728" w:rsidRDefault="009C2728" w:rsidP="009128CA">
      <w:pPr>
        <w:spacing w:before="100" w:beforeAutospacing="1" w:after="0"/>
      </w:pPr>
      <w:r>
        <w:t xml:space="preserve">Cet appel d’offre concernera le financement de thèses, de bourses </w:t>
      </w:r>
      <w:proofErr w:type="spellStart"/>
      <w:r>
        <w:t>post-doctorales</w:t>
      </w:r>
      <w:proofErr w:type="spellEnd"/>
      <w:r>
        <w:t xml:space="preserve"> et des actions dans le cadre de l’appel d’offre interne.</w:t>
      </w:r>
    </w:p>
    <w:p w:rsidR="00224568" w:rsidRDefault="009C2728" w:rsidP="009128CA">
      <w:pPr>
        <w:spacing w:before="100" w:beforeAutospacing="1" w:after="0"/>
      </w:pPr>
      <w:r>
        <w:t>Nous rappel</w:t>
      </w:r>
      <w:r w:rsidR="00224568">
        <w:t xml:space="preserve">ons que dans le cadre : </w:t>
      </w:r>
    </w:p>
    <w:p w:rsidR="00224568" w:rsidRDefault="00224568" w:rsidP="009128CA">
      <w:pPr>
        <w:pStyle w:val="Paragraphedeliste"/>
        <w:numPr>
          <w:ilvl w:val="0"/>
          <w:numId w:val="2"/>
        </w:numPr>
        <w:spacing w:before="100" w:beforeAutospacing="1" w:after="0"/>
      </w:pPr>
      <w:r>
        <w:t xml:space="preserve">des thèses : le </w:t>
      </w:r>
      <w:proofErr w:type="spellStart"/>
      <w:r>
        <w:t>labex</w:t>
      </w:r>
      <w:proofErr w:type="spellEnd"/>
      <w:r>
        <w:t xml:space="preserve"> assure la bourse de thèse ainsi que 9 000 euros par an de fonctionnement</w:t>
      </w:r>
    </w:p>
    <w:p w:rsidR="00224568" w:rsidRDefault="00224568" w:rsidP="009128CA">
      <w:pPr>
        <w:pStyle w:val="Paragraphedeliste"/>
        <w:numPr>
          <w:ilvl w:val="0"/>
          <w:numId w:val="2"/>
        </w:numPr>
        <w:spacing w:before="100" w:beforeAutospacing="1" w:after="0"/>
      </w:pPr>
      <w:r>
        <w:t xml:space="preserve">des </w:t>
      </w:r>
      <w:proofErr w:type="spellStart"/>
      <w:r>
        <w:t>post-docs</w:t>
      </w:r>
      <w:proofErr w:type="spellEnd"/>
      <w:r>
        <w:t xml:space="preserve"> : le </w:t>
      </w:r>
      <w:proofErr w:type="spellStart"/>
      <w:r>
        <w:t>labex</w:t>
      </w:r>
      <w:proofErr w:type="spellEnd"/>
      <w:r>
        <w:t xml:space="preserve"> assure la bourse pour deux ans et aussi 9 000 euros par an de fonctionnement</w:t>
      </w:r>
    </w:p>
    <w:p w:rsidR="00224568" w:rsidRDefault="00224568" w:rsidP="009128CA">
      <w:pPr>
        <w:pStyle w:val="Paragraphedeliste"/>
        <w:numPr>
          <w:ilvl w:val="0"/>
          <w:numId w:val="2"/>
        </w:numPr>
        <w:spacing w:before="100" w:beforeAutospacing="1" w:after="0"/>
      </w:pPr>
      <w:r>
        <w:t>de l’appel d’offre interne : une somme de 125 000 euros sera disponible pour financer toutes les actions retenues.</w:t>
      </w:r>
    </w:p>
    <w:p w:rsidR="00224568" w:rsidRDefault="00224568" w:rsidP="009128CA">
      <w:pPr>
        <w:spacing w:before="100" w:beforeAutospacing="1" w:after="0"/>
      </w:pPr>
      <w:r>
        <w:t xml:space="preserve">Les critères de sélections des sujets de thèse et de </w:t>
      </w:r>
      <w:proofErr w:type="spellStart"/>
      <w:r>
        <w:t>post-docs</w:t>
      </w:r>
      <w:proofErr w:type="spellEnd"/>
      <w:r>
        <w:t xml:space="preserve"> restent :</w:t>
      </w:r>
    </w:p>
    <w:p w:rsidR="00224568" w:rsidRDefault="00224568" w:rsidP="009128CA">
      <w:pPr>
        <w:pStyle w:val="Paragraphedeliste"/>
        <w:numPr>
          <w:ilvl w:val="0"/>
          <w:numId w:val="3"/>
        </w:numPr>
        <w:spacing w:before="100" w:beforeAutospacing="1" w:after="0"/>
      </w:pPr>
      <w:r>
        <w:t xml:space="preserve">des projets </w:t>
      </w:r>
      <w:proofErr w:type="spellStart"/>
      <w:r>
        <w:t>pluri-partenaires</w:t>
      </w:r>
      <w:proofErr w:type="spellEnd"/>
    </w:p>
    <w:p w:rsidR="00224568" w:rsidRDefault="00224568" w:rsidP="009128CA">
      <w:pPr>
        <w:pStyle w:val="Paragraphedeliste"/>
        <w:numPr>
          <w:ilvl w:val="0"/>
          <w:numId w:val="3"/>
        </w:numPr>
        <w:spacing w:before="100" w:beforeAutospacing="1" w:after="0"/>
      </w:pPr>
      <w:r>
        <w:t>En lien avec les actions prioritaires (PRA / PEI) et avec un accent plus important sur des produits commerciaux/industriels plutôt que NM modèles et en lien avec leur cycle de vie</w:t>
      </w:r>
    </w:p>
    <w:p w:rsidR="00224568" w:rsidRDefault="00224568" w:rsidP="009128CA">
      <w:pPr>
        <w:pStyle w:val="Paragraphedeliste"/>
        <w:numPr>
          <w:ilvl w:val="0"/>
          <w:numId w:val="3"/>
        </w:numPr>
        <w:spacing w:before="100" w:beforeAutospacing="1" w:after="0"/>
      </w:pPr>
      <w:r>
        <w:t xml:space="preserve">Essayer au maximum de favoriser le </w:t>
      </w:r>
      <w:proofErr w:type="spellStart"/>
      <w:r>
        <w:t>co-financement</w:t>
      </w:r>
      <w:proofErr w:type="spellEnd"/>
      <w:r>
        <w:t xml:space="preserve"> (ADEME, ANSES, partenaires industriels (bourses </w:t>
      </w:r>
      <w:proofErr w:type="spellStart"/>
      <w:r>
        <w:t>Cifre</w:t>
      </w:r>
      <w:proofErr w:type="spellEnd"/>
      <w:r>
        <w:t>), organismes (CEA, INERIS, INRA,...), Région,...)</w:t>
      </w:r>
    </w:p>
    <w:p w:rsidR="00224568" w:rsidRDefault="009128CA" w:rsidP="009128CA">
      <w:pPr>
        <w:spacing w:before="100" w:beforeAutospacing="1" w:after="0"/>
      </w:pPr>
      <w:r>
        <w:t>Pour l’</w:t>
      </w:r>
      <w:r w:rsidR="00224568">
        <w:t>appel d offre interne:</w:t>
      </w:r>
    </w:p>
    <w:p w:rsidR="00224568" w:rsidRDefault="00224568" w:rsidP="009128CA">
      <w:pPr>
        <w:pStyle w:val="Paragraphedeliste"/>
        <w:numPr>
          <w:ilvl w:val="0"/>
          <w:numId w:val="4"/>
        </w:numPr>
        <w:spacing w:before="100" w:beforeAutospacing="1" w:after="0"/>
      </w:pPr>
      <w:r>
        <w:t xml:space="preserve">Projets </w:t>
      </w:r>
      <w:proofErr w:type="spellStart"/>
      <w:r>
        <w:t>pluri-partenaires</w:t>
      </w:r>
      <w:proofErr w:type="spellEnd"/>
    </w:p>
    <w:p w:rsidR="00224568" w:rsidRDefault="00224568" w:rsidP="009128CA">
      <w:pPr>
        <w:pStyle w:val="Paragraphedeliste"/>
        <w:numPr>
          <w:ilvl w:val="0"/>
          <w:numId w:val="4"/>
        </w:numPr>
        <w:spacing w:before="100" w:beforeAutospacing="1" w:after="0"/>
      </w:pPr>
      <w:r>
        <w:t xml:space="preserve">Actions urgentes, prioritaires : dispositifs de sécurités en labo par </w:t>
      </w:r>
      <w:proofErr w:type="spellStart"/>
      <w:r>
        <w:t>exp</w:t>
      </w:r>
      <w:proofErr w:type="spellEnd"/>
      <w:r>
        <w:t>.</w:t>
      </w:r>
    </w:p>
    <w:p w:rsidR="00224568" w:rsidRDefault="00224568" w:rsidP="009128CA">
      <w:pPr>
        <w:pStyle w:val="Paragraphedeliste"/>
        <w:numPr>
          <w:ilvl w:val="0"/>
          <w:numId w:val="4"/>
        </w:numPr>
        <w:spacing w:before="100" w:beforeAutospacing="1" w:after="0"/>
      </w:pPr>
      <w:r>
        <w:t>Aide à la mise en place de projets (FP7, ...)</w:t>
      </w:r>
    </w:p>
    <w:p w:rsidR="00224568" w:rsidRDefault="00224568" w:rsidP="009128CA">
      <w:pPr>
        <w:pStyle w:val="Paragraphedeliste"/>
        <w:numPr>
          <w:ilvl w:val="0"/>
          <w:numId w:val="4"/>
        </w:numPr>
        <w:spacing w:before="100" w:beforeAutospacing="1" w:after="0"/>
      </w:pPr>
      <w:r>
        <w:t xml:space="preserve">Initier des collaborations internationales (lancer des expérimentations /enseignements/formations communes) </w:t>
      </w:r>
    </w:p>
    <w:p w:rsidR="002E6715" w:rsidRDefault="00224568" w:rsidP="009128CA">
      <w:pPr>
        <w:pStyle w:val="Paragraphedeliste"/>
        <w:numPr>
          <w:ilvl w:val="0"/>
          <w:numId w:val="4"/>
        </w:numPr>
        <w:spacing w:before="100" w:beforeAutospacing="1" w:after="0"/>
      </w:pPr>
      <w:r>
        <w:t>Cofinancer des équipements qui intéressent plusieurs partenaires et difficilement accessibles par ailleur</w:t>
      </w:r>
      <w:r w:rsidR="00987132">
        <w:t>s</w:t>
      </w:r>
      <w:r>
        <w:t>.</w:t>
      </w:r>
    </w:p>
    <w:p w:rsidR="009128CA" w:rsidRDefault="00224568" w:rsidP="009128CA">
      <w:pPr>
        <w:spacing w:before="100" w:beforeAutospacing="1" w:after="0"/>
      </w:pPr>
      <w:r>
        <w:t xml:space="preserve">Pour 2014, il a été décidé de </w:t>
      </w:r>
      <w:r w:rsidR="009128CA">
        <w:t xml:space="preserve">proposer une nouvelle famille de nanomatériaux. Il s'agit d'un ensemble de </w:t>
      </w:r>
      <w:proofErr w:type="spellStart"/>
      <w:r w:rsidR="009128CA">
        <w:t>nano-argiles</w:t>
      </w:r>
      <w:proofErr w:type="spellEnd"/>
      <w:r w:rsidR="009128CA">
        <w:t xml:space="preserve"> de synthèses qui sont préparées par différents procédés. Cette famille de </w:t>
      </w:r>
      <w:proofErr w:type="spellStart"/>
      <w:r w:rsidR="009128CA">
        <w:t>nano-argiles</w:t>
      </w:r>
      <w:proofErr w:type="spellEnd"/>
      <w:r w:rsidR="009128CA">
        <w:t xml:space="preserve"> est mise au point par un laboratoire Toulousain (GET). Ces produits se destinent à différentes applications depuis les renforts de polymère, lubrifiants et autres. Cette équipe a déposé un nombre important de brevets, et continue à faire évoluer leurs nanomatériaux ainsi que les procédés permettant de les obtenir. A ce stade leur démarche est de souhaiter intégrer une approche d'</w:t>
      </w:r>
      <w:proofErr w:type="spellStart"/>
      <w:r w:rsidR="009128CA">
        <w:t>éco-conception</w:t>
      </w:r>
      <w:proofErr w:type="spellEnd"/>
      <w:r w:rsidR="009128CA">
        <w:t xml:space="preserve">, en définissant les meilleures options de synthèses en fonction du risque que pourrait engendrer ces produits. </w:t>
      </w:r>
    </w:p>
    <w:p w:rsidR="009128CA" w:rsidRDefault="009128CA" w:rsidP="009128CA">
      <w:pPr>
        <w:spacing w:before="100" w:beforeAutospacing="1" w:after="0"/>
      </w:pPr>
      <w:r>
        <w:t xml:space="preserve">Nous pensons que leur préoccupation est en parfait accord avec l'esprit du </w:t>
      </w:r>
      <w:proofErr w:type="spellStart"/>
      <w:r>
        <w:t>Labex</w:t>
      </w:r>
      <w:proofErr w:type="spellEnd"/>
      <w:r>
        <w:t>, à savoir réfléchir à la toxicité (</w:t>
      </w:r>
      <w:proofErr w:type="spellStart"/>
      <w:r w:rsidR="00DB0A33">
        <w:t>écotox</w:t>
      </w:r>
      <w:proofErr w:type="spellEnd"/>
      <w:r w:rsidR="00DB0A33">
        <w:t xml:space="preserve">, </w:t>
      </w:r>
      <w:proofErr w:type="spellStart"/>
      <w:r w:rsidR="00DB0A33">
        <w:t>génotox</w:t>
      </w:r>
      <w:proofErr w:type="spellEnd"/>
      <w:r w:rsidR="00DB0A33">
        <w:t>, inhalation) de</w:t>
      </w:r>
      <w:r>
        <w:t xml:space="preserve"> ces nanomatériaux en amont de toute commercialisation.</w:t>
      </w:r>
    </w:p>
    <w:p w:rsidR="009128CA" w:rsidRDefault="009128CA" w:rsidP="009128CA">
      <w:pPr>
        <w:spacing w:before="100" w:beforeAutospacing="1" w:after="0"/>
      </w:pPr>
      <w:r>
        <w:t xml:space="preserve">L'objectif serait que cette équipe du GET, non membre du </w:t>
      </w:r>
      <w:proofErr w:type="spellStart"/>
      <w:r>
        <w:t>Labex</w:t>
      </w:r>
      <w:proofErr w:type="spellEnd"/>
      <w:r>
        <w:t xml:space="preserve">, puisse fournir les matériaux aux équipes du </w:t>
      </w:r>
      <w:proofErr w:type="spellStart"/>
      <w:r>
        <w:t>labex</w:t>
      </w:r>
      <w:proofErr w:type="spellEnd"/>
      <w:r>
        <w:t xml:space="preserve"> qui seraient motivées pour travailler avec eux. Les thèses et/ou </w:t>
      </w:r>
      <w:proofErr w:type="spellStart"/>
      <w:r>
        <w:t>post-doc</w:t>
      </w:r>
      <w:proofErr w:type="spellEnd"/>
      <w:r>
        <w:t xml:space="preserve"> seraient attribués aux partenaires du </w:t>
      </w:r>
      <w:proofErr w:type="spellStart"/>
      <w:r>
        <w:t>Labex</w:t>
      </w:r>
      <w:proofErr w:type="spellEnd"/>
      <w:r>
        <w:t xml:space="preserve">, mais bien sur en lien avec cette équipe. Celle-ci propose d'ailleurs de participer aux frais de fonctionnement à hauteur d’environ 10 </w:t>
      </w:r>
      <w:proofErr w:type="spellStart"/>
      <w:r>
        <w:t>keuros</w:t>
      </w:r>
      <w:proofErr w:type="spellEnd"/>
      <w:r>
        <w:t xml:space="preserve"> par an (en plus du financement LABEX).</w:t>
      </w:r>
    </w:p>
    <w:p w:rsidR="00616A22" w:rsidRDefault="00616A22" w:rsidP="00A90505">
      <w:pPr>
        <w:pStyle w:val="Standard"/>
        <w:spacing w:before="100" w:beforeAutospacing="1"/>
        <w:ind w:firstLine="708"/>
        <w:jc w:val="both"/>
        <w:rPr>
          <w:rFonts w:asciiTheme="minorHAnsi" w:hAnsiTheme="minorHAnsi" w:cstheme="minorHAnsi"/>
        </w:rPr>
      </w:pPr>
      <w:r>
        <w:t xml:space="preserve">En ce qui concerne le bilan et les actions déjà engagées, </w:t>
      </w:r>
      <w:r>
        <w:rPr>
          <w:rFonts w:asciiTheme="minorHAnsi" w:hAnsiTheme="minorHAnsi" w:cstheme="minorHAnsi"/>
        </w:rPr>
        <w:t>il ressort que le PRA3 a été l’axe de recherche le p</w:t>
      </w:r>
      <w:r w:rsidR="004132A0">
        <w:rPr>
          <w:rFonts w:asciiTheme="minorHAnsi" w:hAnsiTheme="minorHAnsi" w:cstheme="minorHAnsi"/>
        </w:rPr>
        <w:t xml:space="preserve">lus développé. </w:t>
      </w:r>
      <w:r>
        <w:rPr>
          <w:rFonts w:asciiTheme="minorHAnsi" w:hAnsiTheme="minorHAnsi" w:cstheme="minorHAnsi"/>
        </w:rPr>
        <w:t xml:space="preserve">Les PRA1 et 2 sont encore les parents pauvres des projets même si quelques projets ont été validés et ont commencé. Le PRA4 a eu une réussite (bourse ADEME-SERENADE) </w:t>
      </w:r>
      <w:r w:rsidR="00DB0A33">
        <w:rPr>
          <w:rFonts w:asciiTheme="minorHAnsi" w:hAnsiTheme="minorHAnsi" w:cstheme="minorHAnsi"/>
        </w:rPr>
        <w:t xml:space="preserve">et une thèse en </w:t>
      </w:r>
      <w:proofErr w:type="spellStart"/>
      <w:r w:rsidR="00DB0A33">
        <w:rPr>
          <w:rFonts w:asciiTheme="minorHAnsi" w:hAnsiTheme="minorHAnsi" w:cstheme="minorHAnsi"/>
        </w:rPr>
        <w:t>co-tutelle</w:t>
      </w:r>
      <w:proofErr w:type="spellEnd"/>
      <w:r w:rsidR="00DB0A33">
        <w:rPr>
          <w:rFonts w:asciiTheme="minorHAnsi" w:hAnsiTheme="minorHAnsi" w:cstheme="minorHAnsi"/>
        </w:rPr>
        <w:t xml:space="preserve"> avec DUKE-AMU et une deuxième qui démarre </w:t>
      </w:r>
      <w:r>
        <w:rPr>
          <w:rFonts w:asciiTheme="minorHAnsi" w:hAnsiTheme="minorHAnsi" w:cstheme="minorHAnsi"/>
        </w:rPr>
        <w:t xml:space="preserve">et le PRA5 se développe plus en relation avec des laboratoires non français comme DUKE, </w:t>
      </w:r>
      <w:proofErr w:type="gramStart"/>
      <w:r>
        <w:rPr>
          <w:rFonts w:asciiTheme="minorHAnsi" w:hAnsiTheme="minorHAnsi" w:cstheme="minorHAnsi"/>
        </w:rPr>
        <w:t>ETH….</w:t>
      </w:r>
      <w:proofErr w:type="gramEnd"/>
    </w:p>
    <w:p w:rsidR="00616A22" w:rsidRPr="00744E8A" w:rsidRDefault="00616A22" w:rsidP="00616A22">
      <w:pPr>
        <w:pStyle w:val="Standard"/>
        <w:spacing w:before="100" w:beforeAutospacing="1"/>
        <w:jc w:val="both"/>
        <w:rPr>
          <w:rFonts w:asciiTheme="minorHAnsi" w:hAnsiTheme="minorHAnsi" w:cstheme="minorHAnsi"/>
        </w:rPr>
      </w:pPr>
      <w:r w:rsidRPr="00E87458">
        <w:rPr>
          <w:rFonts w:asciiTheme="minorHAnsi" w:hAnsiTheme="minorHAnsi" w:cstheme="minorHAnsi"/>
          <w:noProof/>
          <w:lang w:eastAsia="fr-FR" w:bidi="ar-SA"/>
        </w:rPr>
        <w:drawing>
          <wp:inline distT="0" distB="0" distL="0" distR="0">
            <wp:extent cx="5756910" cy="3858342"/>
            <wp:effectExtent l="25400" t="0" r="8890" b="0"/>
            <wp:docPr id="2" name="I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858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715" w:rsidRPr="00A90505" w:rsidRDefault="004132A0" w:rsidP="00A90505">
      <w:pPr>
        <w:pStyle w:val="Standard"/>
        <w:spacing w:before="100" w:before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faut donc arriver en 2014 à</w:t>
      </w:r>
      <w:r w:rsidR="00616A22">
        <w:rPr>
          <w:rFonts w:asciiTheme="minorHAnsi" w:hAnsiTheme="minorHAnsi" w:cstheme="minorHAnsi"/>
        </w:rPr>
        <w:t xml:space="preserve"> ce que ces axes de recherche se développent fortement. Ceci nécessite une forte contribution des industriels ALLIOS, FIPEC et SUEZ-ENVIRONNEMENT pour la fin de vie. En effet l’</w:t>
      </w:r>
      <w:proofErr w:type="spellStart"/>
      <w:r w:rsidR="00616A22">
        <w:rPr>
          <w:rFonts w:asciiTheme="minorHAnsi" w:hAnsiTheme="minorHAnsi" w:cstheme="minorHAnsi"/>
        </w:rPr>
        <w:t>éco</w:t>
      </w:r>
      <w:r w:rsidR="00EF585B">
        <w:rPr>
          <w:rFonts w:asciiTheme="minorHAnsi" w:hAnsiTheme="minorHAnsi" w:cstheme="minorHAnsi"/>
        </w:rPr>
        <w:t>-</w:t>
      </w:r>
      <w:r w:rsidR="00616A22">
        <w:rPr>
          <w:rFonts w:asciiTheme="minorHAnsi" w:hAnsiTheme="minorHAnsi" w:cstheme="minorHAnsi"/>
        </w:rPr>
        <w:t>conception</w:t>
      </w:r>
      <w:proofErr w:type="spellEnd"/>
      <w:r w:rsidR="00616A22">
        <w:rPr>
          <w:rFonts w:asciiTheme="minorHAnsi" w:hAnsiTheme="minorHAnsi" w:cstheme="minorHAnsi"/>
        </w:rPr>
        <w:t xml:space="preserve"> doit s’évaluer </w:t>
      </w:r>
      <w:r>
        <w:rPr>
          <w:rFonts w:asciiTheme="minorHAnsi" w:hAnsiTheme="minorHAnsi" w:cstheme="minorHAnsi"/>
        </w:rPr>
        <w:t>le long</w:t>
      </w:r>
      <w:r w:rsidR="00616A22">
        <w:rPr>
          <w:rFonts w:asciiTheme="minorHAnsi" w:hAnsiTheme="minorHAnsi" w:cstheme="minorHAnsi"/>
        </w:rPr>
        <w:t xml:space="preserve"> du cycle de vie des produits.</w:t>
      </w:r>
    </w:p>
    <w:p w:rsidR="002E6715" w:rsidRDefault="002E6715" w:rsidP="00A90505">
      <w:pPr>
        <w:pStyle w:val="Standard"/>
        <w:spacing w:before="100" w:beforeAutospacing="1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Les sujets proposés ne doivent plus être « isolés » mais cohérents entre eux, et entrer dans la déclinaison opérationnelle de la stratégie globale. </w:t>
      </w:r>
    </w:p>
    <w:p w:rsidR="00013784" w:rsidRDefault="002E6715" w:rsidP="00A90505">
      <w:pPr>
        <w:pStyle w:val="Standard"/>
        <w:spacing w:before="100" w:beforeAutospacing="1"/>
        <w:jc w:val="both"/>
        <w:rPr>
          <w:rFonts w:asciiTheme="minorHAnsi" w:hAnsiTheme="minorHAnsi" w:cstheme="minorHAnsi"/>
        </w:rPr>
      </w:pPr>
      <w:r w:rsidRPr="00617465">
        <w:rPr>
          <w:rFonts w:asciiTheme="minorHAnsi" w:hAnsiTheme="minorHAnsi" w:cstheme="minorHAnsi"/>
        </w:rPr>
        <w:t>Par ailleurs, en termes de format proposé pour la description des sujets</w:t>
      </w:r>
      <w:r w:rsidR="00A90505">
        <w:rPr>
          <w:rFonts w:asciiTheme="minorHAnsi" w:hAnsiTheme="minorHAnsi" w:cstheme="minorHAnsi"/>
        </w:rPr>
        <w:t>, le</w:t>
      </w:r>
      <w:r w:rsidRPr="00617465">
        <w:rPr>
          <w:rFonts w:asciiTheme="minorHAnsi" w:hAnsiTheme="minorHAnsi" w:cstheme="minorHAnsi"/>
        </w:rPr>
        <w:t xml:space="preserve"> format </w:t>
      </w:r>
      <w:r w:rsidR="00A90505">
        <w:rPr>
          <w:rFonts w:asciiTheme="minorHAnsi" w:hAnsiTheme="minorHAnsi" w:cstheme="minorHAnsi"/>
        </w:rPr>
        <w:t xml:space="preserve">est plus complet avec une </w:t>
      </w:r>
      <w:r w:rsidRPr="00617465">
        <w:rPr>
          <w:rFonts w:asciiTheme="minorHAnsi" w:hAnsiTheme="minorHAnsi" w:cstheme="minorHAnsi"/>
        </w:rPr>
        <w:t xml:space="preserve">d’une dizaine de pages au maximum, qui permettra de détailler davantage les problématiques et le sujet des études, afin de répondre aux questions qui peuvent se poser à la lecture d’une rédaction simplifiée. </w:t>
      </w:r>
    </w:p>
    <w:p w:rsidR="002E6715" w:rsidRPr="00013784" w:rsidRDefault="00013784" w:rsidP="00A90505">
      <w:pPr>
        <w:pStyle w:val="Standard"/>
        <w:spacing w:before="100" w:beforeAutospacing="1"/>
        <w:jc w:val="both"/>
        <w:rPr>
          <w:rFonts w:asciiTheme="minorHAnsi" w:hAnsiTheme="minorHAnsi" w:cstheme="minorHAnsi"/>
          <w:b/>
        </w:rPr>
      </w:pPr>
      <w:r w:rsidRPr="00013784">
        <w:rPr>
          <w:rFonts w:asciiTheme="minorHAnsi" w:hAnsiTheme="minorHAnsi" w:cstheme="minorHAnsi"/>
          <w:b/>
        </w:rPr>
        <w:t>Dates : Les projets doivent être soumis avant le 15 mars. Le retour des évaluations aura lieu</w:t>
      </w:r>
      <w:r w:rsidR="00EF585B">
        <w:rPr>
          <w:rFonts w:asciiTheme="minorHAnsi" w:hAnsiTheme="minorHAnsi" w:cstheme="minorHAnsi"/>
          <w:b/>
        </w:rPr>
        <w:t xml:space="preserve"> durant la première quinzaine d’Avril</w:t>
      </w:r>
      <w:r w:rsidRPr="00013784">
        <w:rPr>
          <w:rFonts w:asciiTheme="minorHAnsi" w:hAnsiTheme="minorHAnsi" w:cstheme="minorHAnsi"/>
          <w:b/>
        </w:rPr>
        <w:t>.</w:t>
      </w:r>
    </w:p>
    <w:sectPr w:rsidR="002E6715" w:rsidRPr="00013784" w:rsidSect="00A90505">
      <w:footerReference w:type="even" r:id="rId6"/>
      <w:footerReference w:type="default" r:id="rId7"/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Arial Unicode MS"/>
    <w:panose1 w:val="00000000000000000000"/>
    <w:charset w:val="86"/>
    <w:family w:val="auto"/>
    <w:notTrueType/>
    <w:pitch w:val="variable"/>
    <w:sig w:usb0="00000000" w:usb1="080E0000" w:usb2="00000010" w:usb3="00000000" w:csb0="0004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Mangal"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505" w:rsidRDefault="0040482D" w:rsidP="007550C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9050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90505" w:rsidRDefault="00A90505" w:rsidP="00A90505">
    <w:pPr>
      <w:pStyle w:val="Pieddepage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505" w:rsidRDefault="0040482D" w:rsidP="007550C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90505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21FC2">
      <w:rPr>
        <w:rStyle w:val="Numrodepage"/>
        <w:noProof/>
      </w:rPr>
      <w:t>1</w:t>
    </w:r>
    <w:r>
      <w:rPr>
        <w:rStyle w:val="Numrodepage"/>
      </w:rPr>
      <w:fldChar w:fldCharType="end"/>
    </w:r>
  </w:p>
  <w:p w:rsidR="00A90505" w:rsidRDefault="00A90505" w:rsidP="00A90505">
    <w:pPr>
      <w:pStyle w:val="Pieddepage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81393"/>
    <w:multiLevelType w:val="hybridMultilevel"/>
    <w:tmpl w:val="3EC43D2C"/>
    <w:lvl w:ilvl="0" w:tplc="AD4CCBDC">
      <w:start w:val="2"/>
      <w:numFmt w:val="bullet"/>
      <w:lvlText w:val="-"/>
      <w:lvlJc w:val="left"/>
      <w:pPr>
        <w:ind w:left="720" w:hanging="360"/>
      </w:pPr>
      <w:rPr>
        <w:rFonts w:ascii="Cambria" w:eastAsia="SimSun" w:hAnsi="Cambri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C62D8"/>
    <w:multiLevelType w:val="hybridMultilevel"/>
    <w:tmpl w:val="794CFD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72AEE"/>
    <w:multiLevelType w:val="hybridMultilevel"/>
    <w:tmpl w:val="30489B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AD251D"/>
    <w:multiLevelType w:val="hybridMultilevel"/>
    <w:tmpl w:val="C3E23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E6715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741D9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50F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50F3"/>
    <w:rPr>
      <w:rFonts w:ascii="Lucida Grande" w:hAnsi="Lucida Grande"/>
      <w:sz w:val="18"/>
      <w:szCs w:val="18"/>
    </w:rPr>
  </w:style>
  <w:style w:type="paragraph" w:customStyle="1" w:styleId="Standard">
    <w:name w:val="Standard"/>
    <w:rsid w:val="002E6715"/>
    <w:pPr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styleId="Paragraphedeliste">
    <w:name w:val="List Paragraph"/>
    <w:basedOn w:val="Normal"/>
    <w:uiPriority w:val="34"/>
    <w:qFormat/>
    <w:rsid w:val="00224568"/>
    <w:pPr>
      <w:ind w:left="720"/>
      <w:contextualSpacing/>
    </w:pPr>
  </w:style>
  <w:style w:type="paragraph" w:styleId="Pieddepage">
    <w:name w:val="footer"/>
    <w:basedOn w:val="Normal"/>
    <w:link w:val="PieddepageCar"/>
    <w:rsid w:val="00A9050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A90505"/>
  </w:style>
  <w:style w:type="character" w:styleId="Numrodepage">
    <w:name w:val="page number"/>
    <w:basedOn w:val="Policepardfaut"/>
    <w:rsid w:val="00A905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598</Words>
  <Characters>3409</Characters>
  <Application>Microsoft Macintosh Word</Application>
  <DocSecurity>0</DocSecurity>
  <Lines>28</Lines>
  <Paragraphs>6</Paragraphs>
  <ScaleCrop>false</ScaleCrop>
  <Company>CEREGE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Jean-Yves Bottero</dc:creator>
  <cp:keywords/>
  <cp:lastModifiedBy>Jean-Yves Bottero</cp:lastModifiedBy>
  <cp:revision>3</cp:revision>
  <dcterms:created xsi:type="dcterms:W3CDTF">2014-02-04T15:31:00Z</dcterms:created>
  <dcterms:modified xsi:type="dcterms:W3CDTF">2014-02-11T16:52:00Z</dcterms:modified>
</cp:coreProperties>
</file>